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17DD" w:rsidRDefault="00C252A2">
      <w:pPr>
        <w:spacing w:before="4"/>
        <w:ind w:left="140"/>
        <w:rPr>
          <w:sz w:val="18"/>
        </w:rPr>
      </w:pPr>
      <w:r>
        <w:rPr>
          <w:sz w:val="18"/>
        </w:rPr>
        <w:t>Vol...</w:t>
      </w:r>
      <w:r w:rsidR="00383E67">
        <w:rPr>
          <w:sz w:val="18"/>
        </w:rPr>
        <w:t xml:space="preserve">, ( ), </w:t>
      </w:r>
      <w:r w:rsidR="009536A6">
        <w:rPr>
          <w:sz w:val="18"/>
        </w:rPr>
        <w:t xml:space="preserve">pp. </w:t>
      </w:r>
    </w:p>
    <w:p w:rsidR="003817DD" w:rsidRDefault="00C252A2">
      <w:pPr>
        <w:ind w:left="140"/>
        <w:rPr>
          <w:sz w:val="18"/>
        </w:rPr>
      </w:pPr>
      <w:r>
        <w:rPr>
          <w:noProof/>
        </w:rPr>
        <mc:AlternateContent>
          <mc:Choice Requires="wps">
            <w:drawing>
              <wp:anchor distT="0" distB="0" distL="0" distR="0" simplePos="0" relativeHeight="251658240" behindDoc="1" locked="0" layoutInCell="1" allowOverlap="1">
                <wp:simplePos x="0" y="0"/>
                <wp:positionH relativeFrom="page">
                  <wp:posOffset>895350</wp:posOffset>
                </wp:positionH>
                <wp:positionV relativeFrom="paragraph">
                  <wp:posOffset>180975</wp:posOffset>
                </wp:positionV>
                <wp:extent cx="5615940" cy="1270"/>
                <wp:effectExtent l="0" t="0" r="0" b="0"/>
                <wp:wrapTopAndBottom/>
                <wp:docPr id="8" name="Freeform 2"/>
                <wp:cNvGraphicFramePr/>
                <a:graphic xmlns:a="http://schemas.openxmlformats.org/drawingml/2006/main">
                  <a:graphicData uri="http://schemas.microsoft.com/office/word/2010/wordprocessingShape">
                    <wps:wsp>
                      <wps:cNvSpPr/>
                      <wps:spPr bwMode="auto">
                        <a:xfrm>
                          <a:off x="0" y="0"/>
                          <a:ext cx="5615940" cy="1270"/>
                        </a:xfrm>
                        <a:custGeom>
                          <a:avLst/>
                          <a:gdLst>
                            <a:gd name="T0" fmla="+- 0 1410 1410"/>
                            <a:gd name="T1" fmla="*/ T0 w 8844"/>
                            <a:gd name="T2" fmla="+- 0 10254 1410"/>
                            <a:gd name="T3" fmla="*/ T2 w 8844"/>
                          </a:gdLst>
                          <a:ahLst/>
                          <a:cxnLst>
                            <a:cxn ang="0">
                              <a:pos x="T1" y="0"/>
                            </a:cxn>
                            <a:cxn ang="0">
                              <a:pos x="T3" y="0"/>
                            </a:cxn>
                          </a:cxnLst>
                          <a:rect l="0" t="0" r="r" b="b"/>
                          <a:pathLst>
                            <a:path w="8844">
                              <a:moveTo>
                                <a:pt x="0" y="0"/>
                              </a:moveTo>
                              <a:lnTo>
                                <a:pt x="8844"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2" o:spid="_x0000_s1025" style="width:442.2pt;height:0.1pt;margin-top:14.25pt;margin-left:70.5pt;mso-height-percent:0;mso-height-relative:page;mso-position-horizontal-relative:page;mso-width-percent:0;mso-width-relative:page;mso-wrap-distance-bottom:0;mso-wrap-distance-left:0;mso-wrap-distance-right:0;mso-wrap-distance-top:0;mso-wrap-style:square;position:absolute;visibility:visible;v-text-anchor:top;z-index:-251657216" coordsize="8844,1270" path="m,l8844,e" filled="f">
                <v:path arrowok="t" o:connecttype="custom" o:connectlocs="0,0;5615940,0" o:connectangles="0,0"/>
                <w10:wrap type="topAndBottom"/>
              </v:shape>
            </w:pict>
          </mc:Fallback>
        </mc:AlternateContent>
      </w:r>
      <w:r w:rsidR="00383E67">
        <w:rPr>
          <w:sz w:val="18"/>
        </w:rPr>
        <w:t xml:space="preserve">ISSN: 2087-9490 EISSN: 2597-940X, DOI: </w:t>
      </w:r>
    </w:p>
    <w:p w:rsidR="003817DD" w:rsidRDefault="003817DD">
      <w:pPr>
        <w:pStyle w:val="BodyText"/>
        <w:ind w:left="0"/>
        <w:jc w:val="left"/>
      </w:pPr>
    </w:p>
    <w:p w:rsidR="009536A6" w:rsidRPr="009F78E4" w:rsidRDefault="00C252A2" w:rsidP="009536A6">
      <w:pPr>
        <w:pStyle w:val="NormalWeb"/>
        <w:ind w:left="142"/>
        <w:rPr>
          <w:rFonts w:ascii="Palatino Linotype" w:hAnsi="Palatino Linotype"/>
          <w:b/>
          <w:sz w:val="28"/>
          <w:szCs w:val="28"/>
        </w:rPr>
      </w:pPr>
      <w:r w:rsidRPr="009F78E4">
        <w:rPr>
          <w:rFonts w:ascii="Palatino Linotype" w:hAnsi="Palatino Linotype"/>
          <w:b/>
          <w:sz w:val="28"/>
          <w:szCs w:val="28"/>
        </w:rPr>
        <w:t xml:space="preserve">Teachers' Competence </w:t>
      </w:r>
      <w:r w:rsidR="00FB224F">
        <w:rPr>
          <w:rFonts w:ascii="Palatino Linotype" w:hAnsi="Palatino Linotype"/>
          <w:b/>
          <w:sz w:val="28"/>
          <w:szCs w:val="28"/>
        </w:rPr>
        <w:t>in Developing Teaching Modules t</w:t>
      </w:r>
      <w:r w:rsidRPr="009F78E4">
        <w:rPr>
          <w:rFonts w:ascii="Palatino Linotype" w:hAnsi="Palatino Linotype"/>
          <w:b/>
          <w:sz w:val="28"/>
          <w:szCs w:val="28"/>
        </w:rPr>
        <w:t xml:space="preserve">hrough </w:t>
      </w:r>
      <w:r w:rsidRPr="00FB224F">
        <w:rPr>
          <w:rFonts w:ascii="Palatino Linotype" w:hAnsi="Palatino Linotype"/>
          <w:b/>
          <w:sz w:val="28"/>
          <w:szCs w:val="28"/>
        </w:rPr>
        <w:t xml:space="preserve">In-House Training </w:t>
      </w:r>
      <w:r w:rsidR="00FB224F">
        <w:rPr>
          <w:rFonts w:ascii="Palatino Linotype" w:hAnsi="Palatino Linotype"/>
          <w:b/>
          <w:sz w:val="28"/>
          <w:szCs w:val="28"/>
        </w:rPr>
        <w:t>(IHT) at</w:t>
      </w:r>
      <w:r w:rsidRPr="009F78E4">
        <w:rPr>
          <w:rFonts w:ascii="Palatino Linotype" w:hAnsi="Palatino Linotype"/>
          <w:b/>
          <w:sz w:val="28"/>
          <w:szCs w:val="28"/>
        </w:rPr>
        <w:t xml:space="preserve"> Madrasah </w:t>
      </w:r>
      <w:proofErr w:type="spellStart"/>
      <w:r w:rsidRPr="009F78E4">
        <w:rPr>
          <w:rFonts w:ascii="Palatino Linotype" w:hAnsi="Palatino Linotype"/>
          <w:b/>
          <w:sz w:val="28"/>
          <w:szCs w:val="28"/>
        </w:rPr>
        <w:t>Ibtidaiyah</w:t>
      </w:r>
      <w:proofErr w:type="spellEnd"/>
    </w:p>
    <w:p w:rsidR="00FB224F" w:rsidRDefault="00FB224F" w:rsidP="00FB224F">
      <w:pPr>
        <w:pStyle w:val="Heading1"/>
        <w:spacing w:before="212"/>
        <w:ind w:right="726"/>
        <w:rPr>
          <w:sz w:val="12"/>
        </w:rPr>
      </w:pPr>
      <w:r>
        <w:t xml:space="preserve">Sri </w:t>
      </w:r>
      <w:proofErr w:type="spellStart"/>
      <w:r>
        <w:t>Wahyuni</w:t>
      </w:r>
      <w:proofErr w:type="spellEnd"/>
      <w:r>
        <w:rPr>
          <w:position w:val="5"/>
          <w:sz w:val="12"/>
        </w:rPr>
        <w:t>1</w:t>
      </w:r>
      <w:r>
        <w:t xml:space="preserve">, </w:t>
      </w:r>
      <w:proofErr w:type="spellStart"/>
      <w:r>
        <w:t>Sabar</w:t>
      </w:r>
      <w:proofErr w:type="spellEnd"/>
      <w:r>
        <w:t xml:space="preserve"> </w:t>
      </w:r>
      <w:proofErr w:type="spellStart"/>
      <w:r>
        <w:t>Narimo</w:t>
      </w:r>
      <w:proofErr w:type="spellEnd"/>
      <w:r>
        <w:rPr>
          <w:position w:val="5"/>
          <w:sz w:val="12"/>
        </w:rPr>
        <w:t>2</w:t>
      </w:r>
      <w:r>
        <w:t xml:space="preserve">, </w:t>
      </w:r>
      <w:proofErr w:type="spellStart"/>
      <w:r>
        <w:t>Achmad</w:t>
      </w:r>
      <w:proofErr w:type="spellEnd"/>
      <w:r>
        <w:t xml:space="preserve"> </w:t>
      </w:r>
      <w:proofErr w:type="spellStart"/>
      <w:r>
        <w:t>Fathoni</w:t>
      </w:r>
      <w:proofErr w:type="spellEnd"/>
      <w:r>
        <w:rPr>
          <w:position w:val="5"/>
          <w:sz w:val="12"/>
        </w:rPr>
        <w:t>3</w:t>
      </w:r>
      <w:r>
        <w:t xml:space="preserve">, </w:t>
      </w:r>
      <w:proofErr w:type="spellStart"/>
      <w:r>
        <w:t>Yeni</w:t>
      </w:r>
      <w:proofErr w:type="spellEnd"/>
      <w:r>
        <w:t xml:space="preserve"> </w:t>
      </w:r>
      <w:proofErr w:type="spellStart"/>
      <w:r>
        <w:t>Prastiwi</w:t>
      </w:r>
      <w:proofErr w:type="spellEnd"/>
      <w:r>
        <w:rPr>
          <w:position w:val="5"/>
          <w:sz w:val="12"/>
        </w:rPr>
        <w:t>4</w:t>
      </w:r>
    </w:p>
    <w:p w:rsidR="003817DD" w:rsidRPr="00D0326B" w:rsidRDefault="00C252A2">
      <w:pPr>
        <w:spacing w:before="122" w:line="243" w:lineRule="exact"/>
        <w:ind w:left="253"/>
        <w:rPr>
          <w:sz w:val="18"/>
          <w:szCs w:val="18"/>
        </w:rPr>
      </w:pPr>
      <w:r>
        <w:rPr>
          <w:position w:val="5"/>
          <w:sz w:val="11"/>
        </w:rPr>
        <w:t xml:space="preserve">1    </w:t>
      </w:r>
      <w:proofErr w:type="spellStart"/>
      <w:r>
        <w:rPr>
          <w:sz w:val="18"/>
        </w:rPr>
        <w:t>Universitas</w:t>
      </w:r>
      <w:proofErr w:type="spellEnd"/>
      <w:r>
        <w:rPr>
          <w:sz w:val="18"/>
        </w:rPr>
        <w:t xml:space="preserve"> </w:t>
      </w:r>
      <w:proofErr w:type="spellStart"/>
      <w:r>
        <w:rPr>
          <w:sz w:val="18"/>
        </w:rPr>
        <w:t>Muhammadiyah</w:t>
      </w:r>
      <w:proofErr w:type="spellEnd"/>
      <w:r>
        <w:rPr>
          <w:sz w:val="18"/>
        </w:rPr>
        <w:t xml:space="preserve"> Surakarta, Indonesia</w:t>
      </w:r>
      <w:r w:rsidR="00FB224F">
        <w:rPr>
          <w:sz w:val="18"/>
        </w:rPr>
        <w:t xml:space="preserve">, </w:t>
      </w:r>
      <w:hyperlink r:id="rId7" w:history="1">
        <w:r w:rsidR="009536A6" w:rsidRPr="00FB224F">
          <w:rPr>
            <w:rStyle w:val="Hyperlink"/>
            <w:rFonts w:cs="Times New Roman"/>
            <w:color w:val="auto"/>
            <w:sz w:val="18"/>
            <w:szCs w:val="18"/>
            <w:u w:val="none"/>
          </w:rPr>
          <w:t>q200230046@student.ums.ac.id</w:t>
        </w:r>
      </w:hyperlink>
    </w:p>
    <w:p w:rsidR="00726BEA" w:rsidRPr="00726BEA" w:rsidRDefault="00C252A2" w:rsidP="00726BEA">
      <w:pPr>
        <w:spacing w:line="242" w:lineRule="exact"/>
        <w:ind w:left="253"/>
        <w:rPr>
          <w:spacing w:val="-3"/>
          <w:sz w:val="18"/>
        </w:rPr>
      </w:pPr>
      <w:r>
        <w:rPr>
          <w:position w:val="5"/>
          <w:sz w:val="11"/>
        </w:rPr>
        <w:t xml:space="preserve">2    </w:t>
      </w:r>
      <w:r>
        <w:rPr>
          <w:sz w:val="18"/>
        </w:rPr>
        <w:t xml:space="preserve">Universitas Muhammadiyah Surakarta, Indonesia; </w:t>
      </w:r>
      <w:r>
        <w:rPr>
          <w:spacing w:val="-3"/>
          <w:sz w:val="18"/>
        </w:rPr>
        <w:t>sn124@ums.ac.id</w:t>
      </w:r>
    </w:p>
    <w:p w:rsidR="003817DD" w:rsidRDefault="00C252A2">
      <w:pPr>
        <w:spacing w:line="243" w:lineRule="exact"/>
        <w:ind w:left="253"/>
        <w:rPr>
          <w:rFonts w:ascii="Georgia"/>
          <w:sz w:val="18"/>
        </w:rPr>
      </w:pPr>
      <w:r>
        <w:rPr>
          <w:position w:val="5"/>
          <w:sz w:val="11"/>
        </w:rPr>
        <w:t xml:space="preserve">3    </w:t>
      </w:r>
      <w:r>
        <w:rPr>
          <w:sz w:val="18"/>
        </w:rPr>
        <w:t xml:space="preserve">Universitas Muhammadiyah Surakarta, Indonesia; </w:t>
      </w:r>
      <w:r w:rsidR="00726BEA">
        <w:rPr>
          <w:spacing w:val="-7"/>
          <w:sz w:val="18"/>
        </w:rPr>
        <w:t>achmad_fatoni@ums.ac.id</w:t>
      </w:r>
    </w:p>
    <w:p w:rsidR="00DF7A8A" w:rsidRPr="00DF7A8A" w:rsidRDefault="00C252A2" w:rsidP="00DF7A8A">
      <w:pPr>
        <w:spacing w:line="243" w:lineRule="exact"/>
        <w:ind w:firstLine="253"/>
        <w:rPr>
          <w:spacing w:val="-3"/>
          <w:sz w:val="18"/>
          <w:lang w:val="en-ID"/>
        </w:rPr>
      </w:pPr>
      <w:r>
        <w:rPr>
          <w:position w:val="5"/>
          <w:sz w:val="11"/>
        </w:rPr>
        <w:t xml:space="preserve">4    </w:t>
      </w:r>
      <w:r>
        <w:rPr>
          <w:sz w:val="18"/>
        </w:rPr>
        <w:t xml:space="preserve">Universitas Muhammadiyah Surakarta, Indonesia; </w:t>
      </w:r>
      <w:r w:rsidRPr="00DF7A8A">
        <w:rPr>
          <w:spacing w:val="-3"/>
          <w:sz w:val="18"/>
          <w:lang w:val="en-ID"/>
        </w:rPr>
        <w:t>yeny.prastiwi@ums.ac.id</w:t>
      </w:r>
    </w:p>
    <w:p w:rsidR="003817DD" w:rsidRDefault="003817DD">
      <w:pPr>
        <w:spacing w:line="243" w:lineRule="exact"/>
        <w:ind w:left="253"/>
        <w:rPr>
          <w:rFonts w:ascii="Georgia"/>
          <w:sz w:val="18"/>
        </w:rPr>
      </w:pPr>
    </w:p>
    <w:p w:rsidR="003817DD" w:rsidRDefault="003817DD">
      <w:pPr>
        <w:pStyle w:val="BodyText"/>
        <w:spacing w:before="10" w:after="1"/>
        <w:ind w:left="0"/>
        <w:jc w:val="left"/>
        <w:rPr>
          <w:rFonts w:ascii="Georgia"/>
          <w:sz w:val="25"/>
        </w:rPr>
      </w:pPr>
    </w:p>
    <w:tbl>
      <w:tblPr>
        <w:tblW w:w="0" w:type="auto"/>
        <w:tblInd w:w="239" w:type="dxa"/>
        <w:tblLayout w:type="fixed"/>
        <w:tblCellMar>
          <w:left w:w="0" w:type="dxa"/>
          <w:right w:w="0" w:type="dxa"/>
        </w:tblCellMar>
        <w:tblLook w:val="01E0" w:firstRow="1" w:lastRow="1" w:firstColumn="1" w:lastColumn="1" w:noHBand="0" w:noVBand="0"/>
      </w:tblPr>
      <w:tblGrid>
        <w:gridCol w:w="2787"/>
        <w:gridCol w:w="281"/>
        <w:gridCol w:w="5778"/>
      </w:tblGrid>
      <w:tr w:rsidR="00D81FCE">
        <w:trPr>
          <w:trHeight w:val="422"/>
        </w:trPr>
        <w:tc>
          <w:tcPr>
            <w:tcW w:w="2787" w:type="dxa"/>
            <w:tcBorders>
              <w:top w:val="double" w:sz="1" w:space="0" w:color="000000"/>
            </w:tcBorders>
          </w:tcPr>
          <w:p w:rsidR="003817DD" w:rsidRDefault="00C252A2">
            <w:pPr>
              <w:pStyle w:val="TableParagraph"/>
              <w:tabs>
                <w:tab w:val="left" w:pos="2786"/>
              </w:tabs>
              <w:spacing w:before="130"/>
              <w:jc w:val="left"/>
              <w:rPr>
                <w:b/>
                <w:sz w:val="20"/>
              </w:rPr>
            </w:pPr>
            <w:r>
              <w:rPr>
                <w:b/>
                <w:sz w:val="20"/>
                <w:u w:val="single"/>
              </w:rPr>
              <w:t xml:space="preserve">  ARTICLE INFO</w:t>
            </w:r>
            <w:r>
              <w:rPr>
                <w:b/>
                <w:sz w:val="20"/>
                <w:u w:val="single"/>
              </w:rPr>
              <w:tab/>
            </w:r>
          </w:p>
        </w:tc>
        <w:tc>
          <w:tcPr>
            <w:tcW w:w="281" w:type="dxa"/>
            <w:tcBorders>
              <w:top w:val="double" w:sz="1" w:space="0" w:color="000000"/>
            </w:tcBorders>
          </w:tcPr>
          <w:p w:rsidR="003817DD" w:rsidRDefault="003817DD">
            <w:pPr>
              <w:pStyle w:val="TableParagraph"/>
              <w:jc w:val="left"/>
              <w:rPr>
                <w:rFonts w:ascii="Times New Roman"/>
                <w:sz w:val="18"/>
              </w:rPr>
            </w:pPr>
          </w:p>
        </w:tc>
        <w:tc>
          <w:tcPr>
            <w:tcW w:w="5778" w:type="dxa"/>
            <w:tcBorders>
              <w:top w:val="single" w:sz="4" w:space="0" w:color="000000"/>
            </w:tcBorders>
          </w:tcPr>
          <w:p w:rsidR="003817DD" w:rsidRDefault="00C252A2">
            <w:pPr>
              <w:pStyle w:val="TableParagraph"/>
              <w:tabs>
                <w:tab w:val="left" w:pos="5777"/>
              </w:tabs>
              <w:spacing w:before="111"/>
              <w:ind w:left="-1"/>
              <w:jc w:val="left"/>
              <w:rPr>
                <w:b/>
                <w:sz w:val="20"/>
              </w:rPr>
            </w:pPr>
            <w:r>
              <w:rPr>
                <w:b/>
                <w:sz w:val="20"/>
                <w:u w:val="single"/>
              </w:rPr>
              <w:t xml:space="preserve">    ABSTRACT</w:t>
            </w:r>
            <w:r>
              <w:rPr>
                <w:b/>
                <w:sz w:val="20"/>
                <w:u w:val="single"/>
              </w:rPr>
              <w:tab/>
            </w:r>
          </w:p>
        </w:tc>
      </w:tr>
      <w:tr w:rsidR="00D81FCE">
        <w:trPr>
          <w:trHeight w:val="419"/>
        </w:trPr>
        <w:tc>
          <w:tcPr>
            <w:tcW w:w="2787" w:type="dxa"/>
          </w:tcPr>
          <w:p w:rsidR="003817DD" w:rsidRDefault="00C252A2">
            <w:pPr>
              <w:pStyle w:val="TableParagraph"/>
              <w:spacing w:before="89"/>
              <w:ind w:left="105"/>
              <w:jc w:val="left"/>
              <w:rPr>
                <w:b/>
                <w:i/>
                <w:sz w:val="18"/>
              </w:rPr>
            </w:pPr>
            <w:r>
              <w:rPr>
                <w:b/>
                <w:i/>
                <w:sz w:val="18"/>
              </w:rPr>
              <w:t>Keywords:</w:t>
            </w:r>
          </w:p>
        </w:tc>
        <w:tc>
          <w:tcPr>
            <w:tcW w:w="281" w:type="dxa"/>
            <w:vMerge w:val="restart"/>
          </w:tcPr>
          <w:p w:rsidR="003817DD" w:rsidRPr="007A2D98" w:rsidRDefault="003817DD" w:rsidP="00F528DC">
            <w:pPr>
              <w:pStyle w:val="TableParagraph"/>
              <w:jc w:val="both"/>
              <w:rPr>
                <w:sz w:val="20"/>
                <w:szCs w:val="20"/>
              </w:rPr>
            </w:pPr>
          </w:p>
        </w:tc>
        <w:tc>
          <w:tcPr>
            <w:tcW w:w="5778" w:type="dxa"/>
            <w:vMerge w:val="restart"/>
          </w:tcPr>
          <w:p w:rsidR="007A2D98" w:rsidRPr="007A2D98" w:rsidRDefault="007A2D98" w:rsidP="00D024C9">
            <w:pPr>
              <w:jc w:val="both"/>
              <w:rPr>
                <w:rFonts w:eastAsia="Times New Roman" w:cs="Times New Roman"/>
                <w:sz w:val="20"/>
                <w:szCs w:val="20"/>
              </w:rPr>
            </w:pPr>
            <w:r w:rsidRPr="007A2D98">
              <w:rPr>
                <w:sz w:val="20"/>
                <w:szCs w:val="20"/>
              </w:rPr>
              <w:t xml:space="preserve">Teachers </w:t>
            </w:r>
            <w:r w:rsidRPr="007A2D98">
              <w:rPr>
                <w:rFonts w:eastAsia="Times New Roman" w:cs="Times New Roman"/>
                <w:sz w:val="20"/>
                <w:szCs w:val="20"/>
              </w:rPr>
              <w:t xml:space="preserve">are expected to have competence in compiling teaching materials that are relevant and adaptive to the development of the times. This study aims to analyze teacher competence in compiling teaching modules in elementary madrasahs. Qualitative descriptive method with data collection techniques through observation, interviews, and documentation. The subjects of the study were teachers who participated in IHT training at one of the elementary madrasahs in </w:t>
            </w:r>
            <w:proofErr w:type="spellStart"/>
            <w:r w:rsidRPr="007A2D98">
              <w:rPr>
                <w:rFonts w:eastAsia="Times New Roman" w:cs="Times New Roman"/>
                <w:sz w:val="20"/>
                <w:szCs w:val="20"/>
              </w:rPr>
              <w:t>Kebakkramat</w:t>
            </w:r>
            <w:proofErr w:type="spellEnd"/>
            <w:r w:rsidRPr="007A2D98">
              <w:rPr>
                <w:rFonts w:eastAsia="Times New Roman" w:cs="Times New Roman"/>
                <w:sz w:val="20"/>
                <w:szCs w:val="20"/>
              </w:rPr>
              <w:t xml:space="preserve"> </w:t>
            </w:r>
            <w:proofErr w:type="spellStart"/>
            <w:r w:rsidRPr="007A2D98">
              <w:rPr>
                <w:rFonts w:eastAsia="Times New Roman" w:cs="Times New Roman"/>
                <w:sz w:val="20"/>
                <w:szCs w:val="20"/>
              </w:rPr>
              <w:t>Karanganyar</w:t>
            </w:r>
            <w:proofErr w:type="spellEnd"/>
            <w:r w:rsidRPr="007A2D98">
              <w:rPr>
                <w:rFonts w:eastAsia="Times New Roman" w:cs="Times New Roman"/>
                <w:sz w:val="20"/>
                <w:szCs w:val="20"/>
              </w:rPr>
              <w:t xml:space="preserve">. Data validity was obtained through source triangulation and technique triangulation. Data analysis with the Miles and </w:t>
            </w:r>
            <w:proofErr w:type="spellStart"/>
            <w:r w:rsidRPr="007A2D98">
              <w:rPr>
                <w:rFonts w:eastAsia="Times New Roman" w:cs="Times New Roman"/>
                <w:sz w:val="20"/>
                <w:szCs w:val="20"/>
              </w:rPr>
              <w:t>Huberman</w:t>
            </w:r>
            <w:proofErr w:type="spellEnd"/>
            <w:r w:rsidRPr="007A2D98">
              <w:rPr>
                <w:rFonts w:eastAsia="Times New Roman" w:cs="Times New Roman"/>
                <w:sz w:val="20"/>
                <w:szCs w:val="20"/>
              </w:rPr>
              <w:t xml:space="preserve"> model. The results of the study showed that In House Training can help teachers develop their competence in compiling learning plans or teaching modules that are in accordance with student needs. As many as 85% of teachers felt helped in understanding important components in teaching modules, 80% were confident with the results of compiling teaching modules, 90% felt that the feedback given was very useful for improving the quality of teaching modules, and 85% of teachers actively received feedback in group discussions. Intensive mentoring and constructive feedback during training helped teachers overcome challenges in compiling teaching modules, although technology integration and direct practice time still require further attention. The implications of this study are the importance of intensive mentoring, increased use of technology, and ongoing evaluation to ensure that teacher competencies continue to develop in developing teaching materials that are appropriate to student needs.</w:t>
            </w:r>
          </w:p>
          <w:p w:rsidR="007A2D98" w:rsidRPr="007A2D98" w:rsidRDefault="007A2D98" w:rsidP="007A2D98">
            <w:pPr>
              <w:jc w:val="both"/>
              <w:rPr>
                <w:sz w:val="20"/>
                <w:szCs w:val="20"/>
              </w:rPr>
            </w:pPr>
          </w:p>
        </w:tc>
      </w:tr>
      <w:tr w:rsidR="00D81FCE">
        <w:trPr>
          <w:trHeight w:val="799"/>
        </w:trPr>
        <w:tc>
          <w:tcPr>
            <w:tcW w:w="2787" w:type="dxa"/>
          </w:tcPr>
          <w:p w:rsidR="003817DD" w:rsidRDefault="00C252A2" w:rsidP="00D0326B">
            <w:pPr>
              <w:pStyle w:val="TableParagraph"/>
              <w:spacing w:before="32"/>
              <w:ind w:left="141" w:right="1188"/>
              <w:jc w:val="left"/>
              <w:rPr>
                <w:sz w:val="18"/>
              </w:rPr>
            </w:pPr>
            <w:r>
              <w:rPr>
                <w:sz w:val="18"/>
              </w:rPr>
              <w:t>teacher competence</w:t>
            </w:r>
            <w:r w:rsidR="00383E67">
              <w:rPr>
                <w:sz w:val="18"/>
              </w:rPr>
              <w:t xml:space="preserve">; </w:t>
            </w:r>
            <w:r>
              <w:rPr>
                <w:spacing w:val="-1"/>
                <w:sz w:val="18"/>
              </w:rPr>
              <w:t xml:space="preserve">teaching module; </w:t>
            </w:r>
            <w:r>
              <w:rPr>
                <w:sz w:val="18"/>
              </w:rPr>
              <w:t>in house training</w:t>
            </w:r>
            <w:r w:rsidR="00383E67">
              <w:rPr>
                <w:sz w:val="18"/>
              </w:rPr>
              <w:t>;</w:t>
            </w:r>
          </w:p>
        </w:tc>
        <w:tc>
          <w:tcPr>
            <w:tcW w:w="281" w:type="dxa"/>
            <w:vMerge/>
            <w:tcBorders>
              <w:top w:val="nil"/>
            </w:tcBorders>
          </w:tcPr>
          <w:p w:rsidR="003817DD" w:rsidRDefault="003817DD">
            <w:pPr>
              <w:rPr>
                <w:sz w:val="2"/>
                <w:szCs w:val="2"/>
              </w:rPr>
            </w:pPr>
          </w:p>
        </w:tc>
        <w:tc>
          <w:tcPr>
            <w:tcW w:w="5778" w:type="dxa"/>
            <w:vMerge/>
            <w:tcBorders>
              <w:top w:val="nil"/>
            </w:tcBorders>
          </w:tcPr>
          <w:p w:rsidR="003817DD" w:rsidRDefault="003817DD">
            <w:pPr>
              <w:rPr>
                <w:sz w:val="2"/>
                <w:szCs w:val="2"/>
              </w:rPr>
            </w:pPr>
          </w:p>
        </w:tc>
      </w:tr>
      <w:tr w:rsidR="00D81FCE">
        <w:trPr>
          <w:trHeight w:val="944"/>
        </w:trPr>
        <w:tc>
          <w:tcPr>
            <w:tcW w:w="2787" w:type="dxa"/>
            <w:tcBorders>
              <w:bottom w:val="single" w:sz="4" w:space="0" w:color="000000"/>
            </w:tcBorders>
          </w:tcPr>
          <w:p w:rsidR="003817DD" w:rsidRDefault="00350831">
            <w:pPr>
              <w:pStyle w:val="TableParagraph"/>
              <w:spacing w:line="225" w:lineRule="exact"/>
              <w:ind w:left="141"/>
              <w:jc w:val="left"/>
              <w:rPr>
                <w:sz w:val="18"/>
              </w:rPr>
            </w:pPr>
            <w:r>
              <w:rPr>
                <w:sz w:val="18"/>
              </w:rPr>
              <w:t>m</w:t>
            </w:r>
            <w:bookmarkStart w:id="0" w:name="_GoBack"/>
            <w:bookmarkEnd w:id="0"/>
            <w:r w:rsidR="00C252A2">
              <w:rPr>
                <w:sz w:val="18"/>
              </w:rPr>
              <w:t xml:space="preserve">adrasah </w:t>
            </w:r>
            <w:proofErr w:type="spellStart"/>
            <w:r w:rsidR="00C252A2">
              <w:rPr>
                <w:sz w:val="18"/>
              </w:rPr>
              <w:t>Ibtidaiyah</w:t>
            </w:r>
            <w:proofErr w:type="spellEnd"/>
          </w:p>
        </w:tc>
        <w:tc>
          <w:tcPr>
            <w:tcW w:w="281" w:type="dxa"/>
            <w:vMerge/>
            <w:tcBorders>
              <w:top w:val="nil"/>
            </w:tcBorders>
          </w:tcPr>
          <w:p w:rsidR="003817DD" w:rsidRDefault="003817DD">
            <w:pPr>
              <w:rPr>
                <w:sz w:val="2"/>
                <w:szCs w:val="2"/>
              </w:rPr>
            </w:pPr>
          </w:p>
        </w:tc>
        <w:tc>
          <w:tcPr>
            <w:tcW w:w="5778" w:type="dxa"/>
            <w:vMerge/>
            <w:tcBorders>
              <w:top w:val="nil"/>
            </w:tcBorders>
          </w:tcPr>
          <w:p w:rsidR="003817DD" w:rsidRDefault="003817DD">
            <w:pPr>
              <w:rPr>
                <w:sz w:val="2"/>
                <w:szCs w:val="2"/>
              </w:rPr>
            </w:pPr>
          </w:p>
        </w:tc>
      </w:tr>
      <w:tr w:rsidR="00D81FCE">
        <w:trPr>
          <w:trHeight w:val="450"/>
        </w:trPr>
        <w:tc>
          <w:tcPr>
            <w:tcW w:w="2787" w:type="dxa"/>
            <w:tcBorders>
              <w:top w:val="single" w:sz="4" w:space="0" w:color="000000"/>
            </w:tcBorders>
          </w:tcPr>
          <w:p w:rsidR="003817DD" w:rsidRDefault="00C252A2">
            <w:pPr>
              <w:pStyle w:val="TableParagraph"/>
              <w:spacing w:before="120"/>
              <w:ind w:left="105"/>
              <w:jc w:val="left"/>
              <w:rPr>
                <w:b/>
                <w:i/>
                <w:sz w:val="18"/>
              </w:rPr>
            </w:pPr>
            <w:r>
              <w:rPr>
                <w:b/>
                <w:i/>
                <w:sz w:val="18"/>
              </w:rPr>
              <w:t>Article history:</w:t>
            </w:r>
          </w:p>
        </w:tc>
        <w:tc>
          <w:tcPr>
            <w:tcW w:w="281" w:type="dxa"/>
            <w:vMerge/>
            <w:tcBorders>
              <w:top w:val="nil"/>
            </w:tcBorders>
          </w:tcPr>
          <w:p w:rsidR="003817DD" w:rsidRDefault="003817DD">
            <w:pPr>
              <w:rPr>
                <w:sz w:val="2"/>
                <w:szCs w:val="2"/>
              </w:rPr>
            </w:pPr>
          </w:p>
        </w:tc>
        <w:tc>
          <w:tcPr>
            <w:tcW w:w="5778" w:type="dxa"/>
            <w:vMerge/>
            <w:tcBorders>
              <w:top w:val="nil"/>
            </w:tcBorders>
          </w:tcPr>
          <w:p w:rsidR="003817DD" w:rsidRDefault="003817DD">
            <w:pPr>
              <w:rPr>
                <w:sz w:val="2"/>
                <w:szCs w:val="2"/>
              </w:rPr>
            </w:pPr>
          </w:p>
        </w:tc>
      </w:tr>
      <w:tr w:rsidR="00D81FCE">
        <w:trPr>
          <w:trHeight w:val="4726"/>
        </w:trPr>
        <w:tc>
          <w:tcPr>
            <w:tcW w:w="2787" w:type="dxa"/>
          </w:tcPr>
          <w:p w:rsidR="003817DD" w:rsidRDefault="00C252A2">
            <w:pPr>
              <w:pStyle w:val="TableParagraph"/>
              <w:spacing w:before="32" w:line="243" w:lineRule="exact"/>
              <w:ind w:left="105"/>
              <w:jc w:val="left"/>
              <w:rPr>
                <w:sz w:val="18"/>
              </w:rPr>
            </w:pPr>
            <w:r>
              <w:rPr>
                <w:sz w:val="18"/>
              </w:rPr>
              <w:t>Receive</w:t>
            </w:r>
          </w:p>
          <w:p w:rsidR="003817DD" w:rsidRDefault="00C252A2">
            <w:pPr>
              <w:pStyle w:val="TableParagraph"/>
              <w:spacing w:line="242" w:lineRule="exact"/>
              <w:ind w:left="105"/>
              <w:jc w:val="left"/>
              <w:rPr>
                <w:sz w:val="18"/>
              </w:rPr>
            </w:pPr>
            <w:r>
              <w:rPr>
                <w:sz w:val="18"/>
              </w:rPr>
              <w:t>Revise</w:t>
            </w:r>
          </w:p>
          <w:p w:rsidR="003817DD" w:rsidRDefault="00C252A2" w:rsidP="00D0326B">
            <w:pPr>
              <w:pStyle w:val="TableParagraph"/>
              <w:spacing w:line="243" w:lineRule="exact"/>
              <w:ind w:left="105"/>
              <w:jc w:val="left"/>
              <w:rPr>
                <w:sz w:val="18"/>
              </w:rPr>
            </w:pPr>
            <w:r>
              <w:rPr>
                <w:sz w:val="18"/>
              </w:rPr>
              <w:t>Accept</w:t>
            </w:r>
          </w:p>
        </w:tc>
        <w:tc>
          <w:tcPr>
            <w:tcW w:w="281" w:type="dxa"/>
            <w:vMerge/>
            <w:tcBorders>
              <w:top w:val="nil"/>
            </w:tcBorders>
          </w:tcPr>
          <w:p w:rsidR="003817DD" w:rsidRDefault="003817DD">
            <w:pPr>
              <w:rPr>
                <w:sz w:val="2"/>
                <w:szCs w:val="2"/>
              </w:rPr>
            </w:pPr>
          </w:p>
        </w:tc>
        <w:tc>
          <w:tcPr>
            <w:tcW w:w="5778" w:type="dxa"/>
            <w:vMerge/>
            <w:tcBorders>
              <w:top w:val="nil"/>
            </w:tcBorders>
          </w:tcPr>
          <w:p w:rsidR="003817DD" w:rsidRDefault="003817DD">
            <w:pPr>
              <w:rPr>
                <w:sz w:val="2"/>
                <w:szCs w:val="2"/>
              </w:rPr>
            </w:pPr>
          </w:p>
        </w:tc>
      </w:tr>
      <w:tr w:rsidR="00D81FCE">
        <w:trPr>
          <w:trHeight w:val="1130"/>
        </w:trPr>
        <w:tc>
          <w:tcPr>
            <w:tcW w:w="2787" w:type="dxa"/>
            <w:tcBorders>
              <w:bottom w:val="single" w:sz="4" w:space="0" w:color="000000"/>
            </w:tcBorders>
          </w:tcPr>
          <w:p w:rsidR="003817DD" w:rsidRDefault="003817DD">
            <w:pPr>
              <w:pStyle w:val="TableParagraph"/>
              <w:jc w:val="left"/>
              <w:rPr>
                <w:rFonts w:ascii="Times New Roman"/>
                <w:sz w:val="18"/>
              </w:rPr>
            </w:pPr>
          </w:p>
        </w:tc>
        <w:tc>
          <w:tcPr>
            <w:tcW w:w="281" w:type="dxa"/>
          </w:tcPr>
          <w:p w:rsidR="003817DD" w:rsidRDefault="003817DD">
            <w:pPr>
              <w:pStyle w:val="TableParagraph"/>
              <w:jc w:val="left"/>
              <w:rPr>
                <w:rFonts w:ascii="Times New Roman"/>
                <w:sz w:val="18"/>
              </w:rPr>
            </w:pPr>
          </w:p>
        </w:tc>
        <w:tc>
          <w:tcPr>
            <w:tcW w:w="5778" w:type="dxa"/>
            <w:tcBorders>
              <w:bottom w:val="single" w:sz="4" w:space="0" w:color="000000"/>
            </w:tcBorders>
          </w:tcPr>
          <w:p w:rsidR="003817DD" w:rsidRDefault="00C252A2">
            <w:pPr>
              <w:pStyle w:val="TableParagraph"/>
              <w:spacing w:before="35"/>
              <w:ind w:left="587"/>
              <w:jc w:val="left"/>
              <w:rPr>
                <w:i/>
                <w:sz w:val="20"/>
              </w:rPr>
            </w:pPr>
            <w:r>
              <w:rPr>
                <w:i/>
                <w:sz w:val="20"/>
              </w:rPr>
              <w:t xml:space="preserve">This is an open-access article under the </w:t>
            </w:r>
            <w:hyperlink r:id="rId8">
              <w:r>
                <w:rPr>
                  <w:i/>
                  <w:color w:val="0462C1"/>
                  <w:sz w:val="20"/>
                  <w:u w:val="single" w:color="0462C1"/>
                </w:rPr>
                <w:t xml:space="preserve">CC BY-NC-SA </w:t>
              </w:r>
            </w:hyperlink>
            <w:r>
              <w:rPr>
                <w:i/>
                <w:sz w:val="20"/>
              </w:rPr>
              <w:t>licence.</w:t>
            </w:r>
          </w:p>
          <w:p w:rsidR="003817DD" w:rsidRDefault="003817DD">
            <w:pPr>
              <w:pStyle w:val="TableParagraph"/>
              <w:spacing w:before="4"/>
              <w:jc w:val="left"/>
              <w:rPr>
                <w:rFonts w:ascii="Georgia"/>
                <w:sz w:val="10"/>
              </w:rPr>
            </w:pPr>
          </w:p>
          <w:p w:rsidR="003817DD" w:rsidRDefault="00C252A2">
            <w:pPr>
              <w:pStyle w:val="TableParagraph"/>
              <w:ind w:left="4006"/>
              <w:jc w:val="left"/>
              <w:rPr>
                <w:rFonts w:ascii="Georgia"/>
                <w:sz w:val="20"/>
              </w:rPr>
            </w:pPr>
            <w:r>
              <w:rPr>
                <w:rFonts w:ascii="Georgia"/>
                <w:noProof/>
                <w:sz w:val="20"/>
              </w:rPr>
              <w:drawing>
                <wp:inline distT="0" distB="0" distL="0" distR="0">
                  <wp:extent cx="1054555" cy="372046"/>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9" cstate="print"/>
                          <a:stretch>
                            <a:fillRect/>
                          </a:stretch>
                        </pic:blipFill>
                        <pic:spPr>
                          <a:xfrm>
                            <a:off x="0" y="0"/>
                            <a:ext cx="1054555" cy="372046"/>
                          </a:xfrm>
                          <a:prstGeom prst="rect">
                            <a:avLst/>
                          </a:prstGeom>
                        </pic:spPr>
                      </pic:pic>
                    </a:graphicData>
                  </a:graphic>
                </wp:inline>
              </w:drawing>
            </w:r>
          </w:p>
        </w:tc>
      </w:tr>
      <w:tr w:rsidR="00D81FCE" w:rsidTr="00F651FC">
        <w:trPr>
          <w:trHeight w:val="730"/>
        </w:trPr>
        <w:tc>
          <w:tcPr>
            <w:tcW w:w="8846" w:type="dxa"/>
            <w:gridSpan w:val="3"/>
          </w:tcPr>
          <w:p w:rsidR="003817DD" w:rsidRDefault="00C252A2" w:rsidP="00F651FC">
            <w:pPr>
              <w:pStyle w:val="TableParagraph"/>
              <w:spacing w:line="243" w:lineRule="exact"/>
              <w:ind w:left="115"/>
              <w:jc w:val="left"/>
              <w:rPr>
                <w:b/>
                <w:sz w:val="18"/>
              </w:rPr>
            </w:pPr>
            <w:r>
              <w:rPr>
                <w:b/>
                <w:sz w:val="18"/>
              </w:rPr>
              <w:t>Corresponding Author:</w:t>
            </w:r>
          </w:p>
          <w:p w:rsidR="003817DD" w:rsidRPr="00B6646C" w:rsidRDefault="00C252A2" w:rsidP="00F651FC">
            <w:pPr>
              <w:pStyle w:val="TableParagraph"/>
              <w:spacing w:line="243" w:lineRule="exact"/>
              <w:ind w:left="117"/>
              <w:jc w:val="left"/>
              <w:rPr>
                <w:sz w:val="18"/>
                <w:szCs w:val="18"/>
              </w:rPr>
            </w:pPr>
            <w:r w:rsidRPr="00B6646C">
              <w:rPr>
                <w:sz w:val="18"/>
                <w:szCs w:val="18"/>
              </w:rPr>
              <w:t>Sri Wahyuni</w:t>
            </w:r>
          </w:p>
          <w:p w:rsidR="00F651FC" w:rsidRPr="00B6646C" w:rsidRDefault="00C252A2" w:rsidP="00F651FC">
            <w:pPr>
              <w:pStyle w:val="TableParagraph"/>
              <w:tabs>
                <w:tab w:val="left" w:pos="8845"/>
              </w:tabs>
              <w:spacing w:line="220" w:lineRule="exact"/>
              <w:ind w:left="-15"/>
              <w:jc w:val="left"/>
              <w:rPr>
                <w:sz w:val="18"/>
                <w:szCs w:val="18"/>
              </w:rPr>
            </w:pPr>
            <w:r w:rsidRPr="00B6646C">
              <w:rPr>
                <w:sz w:val="18"/>
                <w:szCs w:val="18"/>
              </w:rPr>
              <w:t xml:space="preserve">   University of Muhammadiyah Surakarta, Indonesia</w:t>
            </w:r>
            <w:hyperlink r:id="rId10" w:history="1">
              <w:r w:rsidR="009536A6" w:rsidRPr="00B6646C">
                <w:rPr>
                  <w:rStyle w:val="Hyperlink"/>
                  <w:sz w:val="18"/>
                  <w:szCs w:val="18"/>
                </w:rPr>
                <w:t>q200230046@student.ums.ac.id</w:t>
              </w:r>
            </w:hyperlink>
          </w:p>
          <w:p w:rsidR="003817DD" w:rsidRDefault="00C252A2" w:rsidP="00F651FC">
            <w:pPr>
              <w:pStyle w:val="TableParagraph"/>
              <w:tabs>
                <w:tab w:val="left" w:pos="8845"/>
              </w:tabs>
              <w:spacing w:line="220" w:lineRule="exact"/>
              <w:ind w:left="-15"/>
              <w:jc w:val="left"/>
              <w:rPr>
                <w:rFonts w:ascii="Georgia"/>
                <w:sz w:val="18"/>
              </w:rPr>
            </w:pPr>
            <w:r>
              <w:rPr>
                <w:rFonts w:ascii="Georgia"/>
                <w:sz w:val="18"/>
                <w:u w:val="double"/>
              </w:rPr>
              <w:tab/>
            </w:r>
          </w:p>
        </w:tc>
      </w:tr>
    </w:tbl>
    <w:p w:rsidR="003817DD" w:rsidRDefault="003817DD">
      <w:pPr>
        <w:spacing w:line="220" w:lineRule="exact"/>
        <w:rPr>
          <w:rFonts w:ascii="Georgia"/>
          <w:sz w:val="18"/>
        </w:rPr>
        <w:sectPr w:rsidR="003817DD">
          <w:headerReference w:type="default" r:id="rId11"/>
          <w:footerReference w:type="default" r:id="rId12"/>
          <w:type w:val="continuous"/>
          <w:pgSz w:w="11910" w:h="16840"/>
          <w:pgMar w:top="1100" w:right="1280" w:bottom="1020" w:left="1300" w:header="915" w:footer="832" w:gutter="0"/>
          <w:pgNumType w:start="1"/>
          <w:cols w:space="720"/>
        </w:sectPr>
      </w:pPr>
    </w:p>
    <w:p w:rsidR="003817DD" w:rsidRDefault="003817DD">
      <w:pPr>
        <w:pStyle w:val="BodyText"/>
        <w:ind w:left="0"/>
        <w:jc w:val="left"/>
        <w:rPr>
          <w:rFonts w:ascii="Georgia"/>
        </w:rPr>
      </w:pPr>
    </w:p>
    <w:p w:rsidR="003817DD" w:rsidRDefault="00C252A2">
      <w:pPr>
        <w:pStyle w:val="Heading1"/>
        <w:numPr>
          <w:ilvl w:val="0"/>
          <w:numId w:val="1"/>
        </w:numPr>
        <w:tabs>
          <w:tab w:val="left" w:pos="567"/>
          <w:tab w:val="left" w:pos="568"/>
        </w:tabs>
        <w:spacing w:before="36"/>
      </w:pPr>
      <w:r>
        <w:t>INTRODUCTION</w:t>
      </w:r>
    </w:p>
    <w:p w:rsidR="009536A6" w:rsidRPr="009F78E4" w:rsidRDefault="00C252A2" w:rsidP="009536A6">
      <w:pPr>
        <w:pStyle w:val="NormalWeb"/>
        <w:spacing w:before="0" w:beforeAutospacing="0" w:after="0" w:afterAutospacing="0"/>
        <w:ind w:left="142" w:firstLine="425"/>
        <w:jc w:val="both"/>
        <w:rPr>
          <w:rFonts w:ascii="Palatino Linotype" w:hAnsi="Palatino Linotype"/>
          <w:sz w:val="20"/>
          <w:szCs w:val="20"/>
        </w:rPr>
      </w:pPr>
      <w:r w:rsidRPr="009F78E4">
        <w:rPr>
          <w:rFonts w:ascii="Palatino Linotype" w:hAnsi="Palatino Linotype"/>
          <w:sz w:val="20"/>
          <w:szCs w:val="20"/>
        </w:rPr>
        <w:t>Teacher competence in Madrasah Ibtidaiyah is an important issue</w:t>
      </w:r>
      <w:r w:rsidRPr="009F78E4">
        <w:rPr>
          <w:rFonts w:ascii="Palatino Linotype" w:hAnsi="Palatino Linotype"/>
          <w:sz w:val="20"/>
          <w:szCs w:val="20"/>
        </w:rPr>
        <w:t xml:space="preserve"> in education, given the strategic role of teachers as facilitators and agents of change that support character building and the achievement of student learning outcomes. As the spearhead of education, as stated by Buchari (2018), the success of curriculum</w:t>
      </w:r>
      <w:r w:rsidRPr="009F78E4">
        <w:rPr>
          <w:rFonts w:ascii="Palatino Linotype" w:hAnsi="Palatino Linotype"/>
          <w:sz w:val="20"/>
          <w:szCs w:val="20"/>
        </w:rPr>
        <w:t xml:space="preserve"> implementation is highly dependent on teacher competence. Without qualified teachers, educational goals will not be achieved optimally. Teacher competence becomes very relevant, especially in preparing teaching modules that can guide teachers and students</w:t>
      </w:r>
      <w:r w:rsidRPr="009F78E4">
        <w:rPr>
          <w:rFonts w:ascii="Palatino Linotype" w:hAnsi="Palatino Linotype"/>
          <w:sz w:val="20"/>
          <w:szCs w:val="20"/>
        </w:rPr>
        <w:t xml:space="preserve">. A well-designed lesson plan (RPP) or teaching module can create systematic, relevant learning, and in accordance with student needs. According to Yuhaga (2023), teaching modules are an important tool in learning because they include learning objectives, </w:t>
      </w:r>
      <w:r w:rsidRPr="009F78E4">
        <w:rPr>
          <w:rFonts w:ascii="Palatino Linotype" w:hAnsi="Palatino Linotype"/>
          <w:sz w:val="20"/>
          <w:szCs w:val="20"/>
        </w:rPr>
        <w:t>learning steps, and evaluation. Teachers who are competent in preparing teaching modules can design learning oriented towards the character and needs of students, thus improving learning outcomes and developing students' potential holistically.</w:t>
      </w:r>
    </w:p>
    <w:p w:rsidR="009536A6" w:rsidRPr="009F78E4" w:rsidRDefault="00C252A2" w:rsidP="009536A6">
      <w:pPr>
        <w:pStyle w:val="NormalWeb"/>
        <w:spacing w:before="0" w:beforeAutospacing="0" w:after="0" w:afterAutospacing="0"/>
        <w:ind w:left="142" w:firstLine="425"/>
        <w:jc w:val="both"/>
        <w:rPr>
          <w:rFonts w:ascii="Palatino Linotype" w:hAnsi="Palatino Linotype"/>
          <w:sz w:val="20"/>
          <w:szCs w:val="20"/>
        </w:rPr>
      </w:pPr>
      <w:r w:rsidRPr="009F78E4">
        <w:rPr>
          <w:rFonts w:ascii="Palatino Linotype" w:hAnsi="Palatino Linotype"/>
          <w:sz w:val="20"/>
          <w:szCs w:val="20"/>
        </w:rPr>
        <w:t>Expectations for teacher competence in Madrasah Ibtidaiyah include their ability to design and implement teaching modules by the Merdeka Curriculum. The ideal teaching module should be able to holistically fulfil students' learning needs, covering cognitiv</w:t>
      </w:r>
      <w:r w:rsidRPr="009F78E4">
        <w:rPr>
          <w:rFonts w:ascii="Palatino Linotype" w:hAnsi="Palatino Linotype"/>
          <w:sz w:val="20"/>
          <w:szCs w:val="20"/>
        </w:rPr>
        <w:t xml:space="preserve">e, affective, and psychomotor aspects. According to Yuhaga (2023), teaching modules are designed to provide clear guidance for teachers in organising learning systematically, relevantly, and oriented towards forming learner character. This is very much in </w:t>
      </w:r>
      <w:r w:rsidRPr="009F78E4">
        <w:rPr>
          <w:rFonts w:ascii="Palatino Linotype" w:hAnsi="Palatino Linotype"/>
          <w:sz w:val="20"/>
          <w:szCs w:val="20"/>
        </w:rPr>
        <w:t>line with the principles in the Merdeka Curriculum, which emphasises education that is flexible and oriented towards holistic character development and student competence (Ministry of Education and Culture, 2022). Maharani (2023) added that the preparation</w:t>
      </w:r>
      <w:r w:rsidRPr="009F78E4">
        <w:rPr>
          <w:rFonts w:ascii="Palatino Linotype" w:hAnsi="Palatino Linotype"/>
          <w:sz w:val="20"/>
          <w:szCs w:val="20"/>
        </w:rPr>
        <w:t xml:space="preserve"> of practical teaching modules could increase the efficiency of the learning process, help teachers organise material, and ensure learning objectives are achieved; </w:t>
      </w:r>
      <w:r w:rsidR="00726BEA">
        <w:rPr>
          <w:rFonts w:ascii="Palatino Linotype" w:hAnsi="Palatino Linotype"/>
          <w:sz w:val="20"/>
          <w:szCs w:val="20"/>
        </w:rPr>
        <w:t xml:space="preserve">this </w:t>
      </w:r>
      <w:r w:rsidRPr="009F78E4">
        <w:rPr>
          <w:rFonts w:ascii="Palatino Linotype" w:hAnsi="Palatino Linotype"/>
          <w:sz w:val="20"/>
          <w:szCs w:val="20"/>
        </w:rPr>
        <w:t>also reflects the main objective of the Merdeka Curriculum to provide space for develop</w:t>
      </w:r>
      <w:r w:rsidRPr="009F78E4">
        <w:rPr>
          <w:rFonts w:ascii="Palatino Linotype" w:hAnsi="Palatino Linotype"/>
          <w:sz w:val="20"/>
          <w:szCs w:val="20"/>
        </w:rPr>
        <w:t>ing the abilities of teachers and students more freely and innovatively. In addition, Nuruningsih and Palupi (2021) state that teaching modules also facilitate students' independent learning, which significantly supports the development of 21st-century com</w:t>
      </w:r>
      <w:r w:rsidRPr="009F78E4">
        <w:rPr>
          <w:rFonts w:ascii="Palatino Linotype" w:hAnsi="Palatino Linotype"/>
          <w:sz w:val="20"/>
          <w:szCs w:val="20"/>
        </w:rPr>
        <w:t>petencies that are the focus of the Merdeka Curriculum, such as literacy, numeracy, and character. Thus, a suitable teaching module not only functions as a guide in the teaching and learning process but also as a means to strengthen learning based on the n</w:t>
      </w:r>
      <w:r w:rsidRPr="009F78E4">
        <w:rPr>
          <w:rFonts w:ascii="Palatino Linotype" w:hAnsi="Palatino Linotype"/>
          <w:sz w:val="20"/>
          <w:szCs w:val="20"/>
        </w:rPr>
        <w:t>eeds and potential of students.</w:t>
      </w:r>
    </w:p>
    <w:p w:rsidR="009536A6" w:rsidRPr="009F78E4" w:rsidRDefault="00C252A2" w:rsidP="009536A6">
      <w:pPr>
        <w:pStyle w:val="NormalWeb"/>
        <w:spacing w:before="0" w:beforeAutospacing="0" w:after="0" w:afterAutospacing="0"/>
        <w:ind w:left="142" w:firstLine="425"/>
        <w:jc w:val="both"/>
        <w:rPr>
          <w:rFonts w:ascii="Palatino Linotype" w:hAnsi="Palatino Linotype"/>
          <w:sz w:val="20"/>
          <w:szCs w:val="20"/>
        </w:rPr>
      </w:pPr>
      <w:r w:rsidRPr="009F78E4">
        <w:rPr>
          <w:rFonts w:ascii="Palatino Linotype" w:hAnsi="Palatino Linotype"/>
          <w:sz w:val="20"/>
          <w:szCs w:val="20"/>
        </w:rPr>
        <w:t>However, there is a significant gap between expectations and factual conditions in the field, where many teachers face challenges in developing teaching modules that are by the Merdeka Curriculum. The main obstacle, accordin</w:t>
      </w:r>
      <w:r w:rsidRPr="009F78E4">
        <w:rPr>
          <w:rFonts w:ascii="Palatino Linotype" w:hAnsi="Palatino Linotype"/>
          <w:sz w:val="20"/>
          <w:szCs w:val="20"/>
        </w:rPr>
        <w:t>g to Buchari (2018), is the lack of teacher understanding of the core components of the teaching module, such as Learning Outcomes (CP), Learning Objectives (TP), and Flow of Learning Objectives (ATP). Rismawanda and Mustika (2024) revealed that many teach</w:t>
      </w:r>
      <w:r w:rsidRPr="009F78E4">
        <w:rPr>
          <w:rFonts w:ascii="Palatino Linotype" w:hAnsi="Palatino Linotype"/>
          <w:sz w:val="20"/>
          <w:szCs w:val="20"/>
        </w:rPr>
        <w:t>ers still depend on teaching modules from outside parties that are not always relevant to student needs. In addition, limitations in mastering educational technology are also a significant obstacle, as explained by Mahmudin (2021), and other problems inclu</w:t>
      </w:r>
      <w:r w:rsidRPr="009F78E4">
        <w:rPr>
          <w:rFonts w:ascii="Palatino Linotype" w:hAnsi="Palatino Linotype"/>
          <w:sz w:val="20"/>
          <w:szCs w:val="20"/>
        </w:rPr>
        <w:t xml:space="preserve">de limited infrastructure and limited time to develop </w:t>
      </w:r>
      <w:r>
        <w:rPr>
          <w:rFonts w:ascii="Palatino Linotype" w:hAnsi="Palatino Linotype"/>
          <w:sz w:val="20"/>
          <w:szCs w:val="20"/>
        </w:rPr>
        <w:t>teaching modules (Handayani, 2019</w:t>
      </w:r>
      <w:r w:rsidRPr="009F78E4">
        <w:rPr>
          <w:rFonts w:ascii="Palatino Linotype" w:hAnsi="Palatino Linotype"/>
          <w:sz w:val="20"/>
          <w:szCs w:val="20"/>
        </w:rPr>
        <w:t>). The lack of training focused on developing teaching modules exacerbates the gap (</w:t>
      </w:r>
      <w:r>
        <w:rPr>
          <w:rFonts w:ascii="Palatino Linotype" w:hAnsi="Palatino Linotype"/>
          <w:sz w:val="20"/>
          <w:szCs w:val="20"/>
        </w:rPr>
        <w:t>Kamiludin</w:t>
      </w:r>
      <w:r w:rsidRPr="009F78E4">
        <w:rPr>
          <w:rFonts w:ascii="Palatino Linotype" w:hAnsi="Palatino Linotype"/>
          <w:sz w:val="20"/>
          <w:szCs w:val="20"/>
        </w:rPr>
        <w:t xml:space="preserve">, </w:t>
      </w:r>
      <w:r>
        <w:rPr>
          <w:rFonts w:ascii="Palatino Linotype" w:hAnsi="Palatino Linotype"/>
          <w:sz w:val="20"/>
          <w:szCs w:val="20"/>
        </w:rPr>
        <w:t>2021</w:t>
      </w:r>
      <w:r w:rsidRPr="009F78E4">
        <w:rPr>
          <w:rFonts w:ascii="Palatino Linotype" w:hAnsi="Palatino Linotype"/>
          <w:sz w:val="20"/>
          <w:szCs w:val="20"/>
        </w:rPr>
        <w:t xml:space="preserve">). </w:t>
      </w:r>
    </w:p>
    <w:p w:rsidR="009536A6" w:rsidRPr="009F78E4" w:rsidRDefault="00C252A2" w:rsidP="009536A6">
      <w:pPr>
        <w:pStyle w:val="NormalWeb"/>
        <w:spacing w:before="0" w:beforeAutospacing="0" w:after="0" w:afterAutospacing="0"/>
        <w:ind w:left="142" w:firstLine="425"/>
        <w:jc w:val="both"/>
        <w:rPr>
          <w:rFonts w:ascii="Palatino Linotype" w:hAnsi="Palatino Linotype"/>
          <w:sz w:val="20"/>
          <w:szCs w:val="20"/>
        </w:rPr>
      </w:pPr>
      <w:r w:rsidRPr="009F78E4">
        <w:rPr>
          <w:rFonts w:ascii="Palatino Linotype" w:hAnsi="Palatino Linotype"/>
          <w:sz w:val="20"/>
          <w:szCs w:val="20"/>
        </w:rPr>
        <w:t>Solving the problem of teacher competence in preparing teaching mo</w:t>
      </w:r>
      <w:r w:rsidRPr="009F78E4">
        <w:rPr>
          <w:rFonts w:ascii="Palatino Linotype" w:hAnsi="Palatino Linotype"/>
          <w:sz w:val="20"/>
          <w:szCs w:val="20"/>
        </w:rPr>
        <w:t>dules according to the Merdeka Curriculum is very important, considering that teaching modules are the primary tool for creating systematic, relevant, and character-based learning (Yuhaga, 2023). The negative impact, if not resolved immediately, is the low</w:t>
      </w:r>
      <w:r w:rsidRPr="009F78E4">
        <w:rPr>
          <w:rFonts w:ascii="Palatino Linotype" w:hAnsi="Palatino Linotype"/>
          <w:sz w:val="20"/>
          <w:szCs w:val="20"/>
        </w:rPr>
        <w:t xml:space="preserve"> quality of learning, weak student motivation, and lack of competitiveness of graduates in the global era (Hartatik, 2022). In addition, limited teacher competence can weaken the implementation of independent learning principles at the core of the Merdeka </w:t>
      </w:r>
      <w:r w:rsidRPr="009F78E4">
        <w:rPr>
          <w:rFonts w:ascii="Palatino Linotype" w:hAnsi="Palatino Linotype"/>
          <w:sz w:val="20"/>
          <w:szCs w:val="20"/>
        </w:rPr>
        <w:t xml:space="preserve">Curriculum </w:t>
      </w:r>
      <w:r w:rsidR="0028438C">
        <w:rPr>
          <w:rFonts w:ascii="Palatino Linotype" w:hAnsi="Palatino Linotype"/>
          <w:sz w:val="20"/>
          <w:szCs w:val="20"/>
        </w:rPr>
        <w:t>(</w:t>
      </w:r>
      <w:r>
        <w:rPr>
          <w:rFonts w:ascii="Palatino Linotype" w:hAnsi="Palatino Linotype"/>
          <w:sz w:val="20"/>
          <w:szCs w:val="20"/>
        </w:rPr>
        <w:t>Saifullah, 2023</w:t>
      </w:r>
      <w:r w:rsidRPr="009F78E4">
        <w:rPr>
          <w:rFonts w:ascii="Palatino Linotype" w:hAnsi="Palatino Linotype"/>
          <w:sz w:val="20"/>
          <w:szCs w:val="20"/>
        </w:rPr>
        <w:t xml:space="preserve">). Therefore, a focused solution strategy, such as </w:t>
      </w:r>
      <w:r w:rsidRPr="0028438C">
        <w:rPr>
          <w:rFonts w:ascii="Palatino Linotype" w:hAnsi="Palatino Linotype"/>
          <w:i/>
          <w:iCs/>
          <w:sz w:val="20"/>
          <w:szCs w:val="20"/>
        </w:rPr>
        <w:t xml:space="preserve">In House Training </w:t>
      </w:r>
      <w:r w:rsidRPr="009F78E4">
        <w:rPr>
          <w:rFonts w:ascii="Palatino Linotype" w:hAnsi="Palatino Linotype"/>
          <w:sz w:val="20"/>
          <w:szCs w:val="20"/>
        </w:rPr>
        <w:t>(IHT), can be used as a practical solution for teachers to understand and implement teaching modules effectively in the classroom</w:t>
      </w:r>
      <w:r w:rsidR="0028438C">
        <w:rPr>
          <w:rFonts w:ascii="Palatino Linotype" w:hAnsi="Palatino Linotype"/>
          <w:sz w:val="20"/>
          <w:szCs w:val="20"/>
        </w:rPr>
        <w:t>.</w:t>
      </w:r>
    </w:p>
    <w:p w:rsidR="0079404C" w:rsidRDefault="00C252A2" w:rsidP="009536A6">
      <w:pPr>
        <w:pStyle w:val="NormalWeb"/>
        <w:spacing w:before="0" w:beforeAutospacing="0" w:after="0" w:afterAutospacing="0"/>
        <w:ind w:left="142" w:firstLine="425"/>
        <w:jc w:val="both"/>
        <w:rPr>
          <w:rFonts w:ascii="Palatino Linotype" w:hAnsi="Palatino Linotype"/>
          <w:sz w:val="20"/>
          <w:szCs w:val="20"/>
        </w:rPr>
      </w:pPr>
      <w:r w:rsidRPr="009F78E4">
        <w:rPr>
          <w:rStyle w:val="Strong"/>
          <w:rFonts w:ascii="Palatino Linotype" w:hAnsi="Palatino Linotype"/>
          <w:b w:val="0"/>
          <w:i/>
          <w:sz w:val="20"/>
          <w:szCs w:val="20"/>
        </w:rPr>
        <w:t xml:space="preserve">In-house </w:t>
      </w:r>
      <w:r w:rsidRPr="009F78E4">
        <w:rPr>
          <w:rFonts w:ascii="Palatino Linotype" w:hAnsi="Palatino Linotype"/>
          <w:sz w:val="20"/>
          <w:szCs w:val="20"/>
        </w:rPr>
        <w:t xml:space="preserve">training </w:t>
      </w:r>
      <w:r w:rsidRPr="009F78E4">
        <w:rPr>
          <w:rStyle w:val="Strong"/>
          <w:rFonts w:ascii="Palatino Linotype" w:hAnsi="Palatino Linotype"/>
          <w:b w:val="0"/>
          <w:sz w:val="20"/>
          <w:szCs w:val="20"/>
        </w:rPr>
        <w:t xml:space="preserve">(IHT) </w:t>
      </w:r>
      <w:r w:rsidRPr="009F78E4">
        <w:rPr>
          <w:rFonts w:ascii="Palatino Linotype" w:hAnsi="Palatino Linotype"/>
          <w:sz w:val="20"/>
          <w:szCs w:val="20"/>
        </w:rPr>
        <w:t xml:space="preserve">is </w:t>
      </w:r>
      <w:r w:rsidRPr="009F78E4">
        <w:rPr>
          <w:rFonts w:ascii="Palatino Linotype" w:hAnsi="Palatino Linotype"/>
          <w:sz w:val="20"/>
          <w:szCs w:val="20"/>
        </w:rPr>
        <w:t xml:space="preserve">one of the training strategies to improve teacherscompetence in various aspects of learning, including in developing lesson plans or teaching modules. </w:t>
      </w:r>
      <w:r w:rsidR="0028438C">
        <w:rPr>
          <w:rFonts w:ascii="Palatino Linotype" w:hAnsi="Palatino Linotype"/>
          <w:sz w:val="20"/>
          <w:szCs w:val="20"/>
        </w:rPr>
        <w:t xml:space="preserve">IHT </w:t>
      </w:r>
      <w:r w:rsidRPr="009F78E4">
        <w:rPr>
          <w:rFonts w:ascii="Palatino Linotype" w:hAnsi="Palatino Linotype"/>
          <w:sz w:val="20"/>
          <w:szCs w:val="20"/>
        </w:rPr>
        <w:t>is conducted internally in schools, focusing on the specific needs of teachers so that training can b</w:t>
      </w:r>
      <w:r w:rsidRPr="009F78E4">
        <w:rPr>
          <w:rFonts w:ascii="Palatino Linotype" w:hAnsi="Palatino Linotype"/>
          <w:sz w:val="20"/>
          <w:szCs w:val="20"/>
        </w:rPr>
        <w:t xml:space="preserve">e more relevant and contextualised to the </w:t>
      </w:r>
      <w:r>
        <w:rPr>
          <w:rFonts w:ascii="Palatino Linotype" w:hAnsi="Palatino Linotype"/>
          <w:sz w:val="20"/>
          <w:szCs w:val="20"/>
        </w:rPr>
        <w:t xml:space="preserve">situation in the field </w:t>
      </w:r>
      <w:r w:rsidR="0028438C">
        <w:rPr>
          <w:rFonts w:ascii="Palatino Linotype" w:hAnsi="Palatino Linotype"/>
          <w:sz w:val="20"/>
          <w:szCs w:val="20"/>
        </w:rPr>
        <w:t>(</w:t>
      </w:r>
      <w:r>
        <w:rPr>
          <w:rFonts w:ascii="Palatino Linotype" w:hAnsi="Palatino Linotype"/>
          <w:sz w:val="20"/>
          <w:szCs w:val="20"/>
        </w:rPr>
        <w:t>Rizal et al., 2022</w:t>
      </w:r>
      <w:r w:rsidRPr="009F78E4">
        <w:rPr>
          <w:rFonts w:ascii="Palatino Linotype" w:hAnsi="Palatino Linotype"/>
          <w:sz w:val="20"/>
          <w:szCs w:val="20"/>
        </w:rPr>
        <w:t xml:space="preserve">). IHT provides a space for teachers to learn collaboratively and discuss and share best practices, which is important in producing curriculum-aligned teaching tools. This </w:t>
      </w:r>
      <w:r w:rsidRPr="009F78E4">
        <w:rPr>
          <w:rFonts w:ascii="Palatino Linotype" w:hAnsi="Palatino Linotype"/>
          <w:sz w:val="20"/>
          <w:szCs w:val="20"/>
        </w:rPr>
        <w:t xml:space="preserve">activity can also be combined with intensive mentoring to help teachers understand important components of teaching modules, such as Learning Outcomes (CP), Learning Objectives (TP), </w:t>
      </w:r>
      <w:r w:rsidRPr="009F78E4">
        <w:rPr>
          <w:rFonts w:ascii="Palatino Linotype" w:hAnsi="Palatino Linotype"/>
          <w:sz w:val="20"/>
          <w:szCs w:val="20"/>
        </w:rPr>
        <w:lastRenderedPageBreak/>
        <w:t xml:space="preserve">and Flow of Learning Objectives (ATP), which are the cornerstones of the </w:t>
      </w:r>
      <w:r w:rsidRPr="009F78E4">
        <w:rPr>
          <w:rFonts w:ascii="Palatino Linotype" w:hAnsi="Palatino Linotype"/>
          <w:sz w:val="20"/>
          <w:szCs w:val="20"/>
        </w:rPr>
        <w:t>Merdeka Curriculum (Yuhaga, 2023</w:t>
      </w:r>
      <w:r w:rsidR="0028438C">
        <w:rPr>
          <w:rFonts w:ascii="Palatino Linotype" w:hAnsi="Palatino Linotype"/>
          <w:sz w:val="20"/>
          <w:szCs w:val="20"/>
        </w:rPr>
        <w:t>)</w:t>
      </w:r>
      <w:r w:rsidRPr="009F78E4">
        <w:rPr>
          <w:rFonts w:ascii="Palatino Linotype" w:hAnsi="Palatino Linotype"/>
          <w:sz w:val="20"/>
          <w:szCs w:val="20"/>
        </w:rPr>
        <w:t xml:space="preserve">. In addition, IHT also integrates </w:t>
      </w:r>
      <w:r w:rsidR="0028438C">
        <w:rPr>
          <w:rFonts w:ascii="Palatino Linotype" w:hAnsi="Palatino Linotype"/>
          <w:sz w:val="20"/>
          <w:szCs w:val="20"/>
        </w:rPr>
        <w:t xml:space="preserve">educational </w:t>
      </w:r>
      <w:r w:rsidRPr="009F78E4">
        <w:rPr>
          <w:rFonts w:ascii="Palatino Linotype" w:hAnsi="Palatino Linotype"/>
          <w:sz w:val="20"/>
          <w:szCs w:val="20"/>
        </w:rPr>
        <w:t>technology, which is important for creating teaching modules that are interactive, interesting, and relevant to 21st-century learning needs (Nuruningsih &amp; Palupi, 2021). Throug</w:t>
      </w:r>
      <w:r w:rsidRPr="009F78E4">
        <w:rPr>
          <w:rFonts w:ascii="Palatino Linotype" w:hAnsi="Palatino Linotype"/>
          <w:sz w:val="20"/>
          <w:szCs w:val="20"/>
        </w:rPr>
        <w:t xml:space="preserve">h this activity, teachers not only gain technical knowledge about the preparation of teaching tools but also get support to implement these tools effectively in learning toto improve teaching quality. </w:t>
      </w:r>
    </w:p>
    <w:p w:rsidR="009536A6" w:rsidRPr="009F78E4" w:rsidRDefault="00C252A2" w:rsidP="0079404C">
      <w:pPr>
        <w:pStyle w:val="NormalWeb"/>
        <w:spacing w:before="0" w:beforeAutospacing="0" w:after="0" w:afterAutospacing="0"/>
        <w:ind w:left="142"/>
        <w:jc w:val="both"/>
        <w:rPr>
          <w:rFonts w:ascii="Palatino Linotype" w:hAnsi="Palatino Linotype"/>
          <w:sz w:val="20"/>
          <w:szCs w:val="20"/>
        </w:rPr>
      </w:pPr>
      <w:r w:rsidRPr="009F78E4">
        <w:rPr>
          <w:rFonts w:ascii="Palatino Linotype" w:hAnsi="Palatino Linotype"/>
          <w:sz w:val="20"/>
          <w:szCs w:val="20"/>
        </w:rPr>
        <w:t>(</w:t>
      </w:r>
      <w:r>
        <w:rPr>
          <w:rFonts w:ascii="Palatino Linotype" w:hAnsi="Palatino Linotype"/>
          <w:sz w:val="20"/>
          <w:szCs w:val="20"/>
        </w:rPr>
        <w:t>Tasmini, 2022</w:t>
      </w:r>
      <w:r w:rsidRPr="009F78E4">
        <w:rPr>
          <w:rFonts w:ascii="Palatino Linotype" w:hAnsi="Palatino Linotype"/>
          <w:sz w:val="20"/>
          <w:szCs w:val="20"/>
        </w:rPr>
        <w:t>). Thus, IHT helps teachers understand t</w:t>
      </w:r>
      <w:r w:rsidRPr="009F78E4">
        <w:rPr>
          <w:rFonts w:ascii="Palatino Linotype" w:hAnsi="Palatino Linotype"/>
          <w:sz w:val="20"/>
          <w:szCs w:val="20"/>
        </w:rPr>
        <w:t>he technicalities of preparing lesson plans or teaching modules and ensures that their implementation is effective and supports successful learning.</w:t>
      </w:r>
    </w:p>
    <w:p w:rsidR="009536A6" w:rsidRPr="009F78E4" w:rsidRDefault="00C252A2" w:rsidP="009536A6">
      <w:pPr>
        <w:pStyle w:val="NormalWeb"/>
        <w:spacing w:before="0" w:beforeAutospacing="0" w:after="0" w:afterAutospacing="0"/>
        <w:ind w:left="142" w:firstLine="425"/>
        <w:jc w:val="both"/>
        <w:rPr>
          <w:rFonts w:ascii="Palatino Linotype" w:hAnsi="Palatino Linotype"/>
          <w:sz w:val="20"/>
          <w:szCs w:val="20"/>
        </w:rPr>
      </w:pPr>
      <w:r w:rsidRPr="009F78E4">
        <w:rPr>
          <w:rFonts w:ascii="Palatino Linotype" w:hAnsi="Palatino Linotype"/>
          <w:sz w:val="20"/>
          <w:szCs w:val="20"/>
        </w:rPr>
        <w:t xml:space="preserve">Various studies have shown that </w:t>
      </w:r>
      <w:r w:rsidRPr="009F78E4">
        <w:rPr>
          <w:rStyle w:val="Strong"/>
          <w:rFonts w:ascii="Palatino Linotype" w:hAnsi="Palatino Linotype"/>
          <w:b w:val="0"/>
          <w:i/>
          <w:sz w:val="20"/>
          <w:szCs w:val="20"/>
        </w:rPr>
        <w:t xml:space="preserve">In-House Training </w:t>
      </w:r>
      <w:r w:rsidRPr="009F78E4">
        <w:rPr>
          <w:rStyle w:val="Strong"/>
          <w:rFonts w:ascii="Palatino Linotype" w:hAnsi="Palatino Linotype"/>
          <w:b w:val="0"/>
          <w:sz w:val="20"/>
          <w:szCs w:val="20"/>
        </w:rPr>
        <w:t xml:space="preserve">(IHT) </w:t>
      </w:r>
      <w:r w:rsidRPr="009F78E4">
        <w:rPr>
          <w:rFonts w:ascii="Palatino Linotype" w:hAnsi="Palatino Linotype"/>
          <w:sz w:val="20"/>
          <w:szCs w:val="20"/>
        </w:rPr>
        <w:t>effectively improves teacher competence in developi</w:t>
      </w:r>
      <w:r w:rsidRPr="009F78E4">
        <w:rPr>
          <w:rFonts w:ascii="Palatino Linotype" w:hAnsi="Palatino Linotype"/>
          <w:sz w:val="20"/>
          <w:szCs w:val="20"/>
        </w:rPr>
        <w:t>ng lesson plans or teaching modules. Yuhaga (2023) found that training at SD Negeri 1 Pandran Raya helped teachers understand the main components of the Merdeka Curriculum teaching module, such as learning objectives and evaluation, so the module is more s</w:t>
      </w:r>
      <w:r w:rsidRPr="009F78E4">
        <w:rPr>
          <w:rFonts w:ascii="Palatino Linotype" w:hAnsi="Palatino Linotype"/>
          <w:sz w:val="20"/>
          <w:szCs w:val="20"/>
        </w:rPr>
        <w:t xml:space="preserve">ystematic. Maharani (2023) noted that intensive mentoring at SD Negeri 3 Kalanglundo improved the ability to drive school teachers to develop teaching modules. Nuruningsih and Palupi (2021) showed that the </w:t>
      </w:r>
      <w:r w:rsidRPr="0079404C">
        <w:rPr>
          <w:rFonts w:ascii="Palatino Linotype" w:hAnsi="Palatino Linotype"/>
          <w:i/>
          <w:iCs/>
          <w:sz w:val="20"/>
          <w:szCs w:val="20"/>
        </w:rPr>
        <w:t xml:space="preserve">Focus Group Discussion </w:t>
      </w:r>
      <w:r w:rsidRPr="009F78E4">
        <w:rPr>
          <w:rFonts w:ascii="Palatino Linotype" w:hAnsi="Palatino Linotype"/>
          <w:sz w:val="20"/>
          <w:szCs w:val="20"/>
        </w:rPr>
        <w:t xml:space="preserve">(FGD) method in IHT at SDN </w:t>
      </w:r>
      <w:r w:rsidRPr="009F78E4">
        <w:rPr>
          <w:rFonts w:ascii="Palatino Linotype" w:hAnsi="Palatino Linotype"/>
          <w:sz w:val="20"/>
          <w:szCs w:val="20"/>
        </w:rPr>
        <w:t>Pondok 03 effectively improved teachers' ability to develop contextualised lesson plans. Research by Pangestuti (2022) and Hartatik (2022) underlined that IHT can integrate the values of the Pancasila Student Profile and support the preparation of teaching</w:t>
      </w:r>
      <w:r w:rsidRPr="009F78E4">
        <w:rPr>
          <w:rFonts w:ascii="Palatino Linotype" w:hAnsi="Palatino Linotype"/>
          <w:sz w:val="20"/>
          <w:szCs w:val="20"/>
        </w:rPr>
        <w:t xml:space="preserve"> tools based on the Merdeka Curriculum. In addition, Khaerani (2016) and Virgiyanti et al. (2023) confirmed that this training helps teachers understand the components of lesson plans and teaching tools more deeply, making them relevant to student needs. T</w:t>
      </w:r>
      <w:r w:rsidRPr="009F78E4">
        <w:rPr>
          <w:rFonts w:ascii="Palatino Linotype" w:hAnsi="Palatino Linotype"/>
          <w:sz w:val="20"/>
          <w:szCs w:val="20"/>
        </w:rPr>
        <w:t>his finding reinforces the urgency of IHT in supporting teacher competence for optimal implementation of the Merdeka Curriculum.</w:t>
      </w:r>
    </w:p>
    <w:p w:rsidR="003817DD" w:rsidRDefault="00C252A2" w:rsidP="009536A6">
      <w:pPr>
        <w:pStyle w:val="BodyText"/>
        <w:spacing w:before="11"/>
        <w:ind w:left="142" w:firstLine="425"/>
      </w:pPr>
      <w:r w:rsidRPr="009F78E4">
        <w:t xml:space="preserve">The novelty of this research lies in the application of </w:t>
      </w:r>
      <w:r w:rsidRPr="009614B0">
        <w:rPr>
          <w:rStyle w:val="Strong"/>
          <w:b w:val="0"/>
          <w:i/>
          <w:iCs/>
        </w:rPr>
        <w:t xml:space="preserve">In-House Training </w:t>
      </w:r>
      <w:r w:rsidRPr="009F78E4">
        <w:rPr>
          <w:rStyle w:val="Strong"/>
          <w:b w:val="0"/>
        </w:rPr>
        <w:t xml:space="preserve">(IHT) </w:t>
      </w:r>
      <w:r w:rsidRPr="009F78E4">
        <w:t xml:space="preserve">to improve teachers' competence in developing </w:t>
      </w:r>
      <w:r w:rsidRPr="009F78E4">
        <w:rPr>
          <w:rStyle w:val="Strong"/>
          <w:b w:val="0"/>
        </w:rPr>
        <w:t>t</w:t>
      </w:r>
      <w:r w:rsidRPr="009F78E4">
        <w:rPr>
          <w:rStyle w:val="Strong"/>
          <w:b w:val="0"/>
        </w:rPr>
        <w:t xml:space="preserve">eaching modules for </w:t>
      </w:r>
      <w:r w:rsidRPr="009F78E4">
        <w:t xml:space="preserve">the Merdeka Curriculum in Madrasah Ibtidaiyah, with a different focus from previous studies that focused primarily on public schools. This research examines the </w:t>
      </w:r>
      <w:r w:rsidRPr="009F78E4">
        <w:rPr>
          <w:rStyle w:val="Strong"/>
          <w:b w:val="0"/>
        </w:rPr>
        <w:t>specific context of Madrasah Ibtidaiyah</w:t>
      </w:r>
      <w:r w:rsidRPr="009F78E4">
        <w:t>, applying IHT to help teachers deve</w:t>
      </w:r>
      <w:r w:rsidRPr="009F78E4">
        <w:t>lop interactive teaching modules in accordance with the demands of 21st-century learning while maintaining character values in religious education. This study aims to analyse how IHT can improve teachers' competence in developing teaching modules for the M</w:t>
      </w:r>
      <w:r w:rsidRPr="009F78E4">
        <w:t>erdeka Curriculum, focusing on understanding the core components of teaching modules that suit the needs and characteristics of students in Madrasah Ibtidaiyah.</w:t>
      </w:r>
    </w:p>
    <w:p w:rsidR="009536A6" w:rsidRDefault="009536A6" w:rsidP="009536A6">
      <w:pPr>
        <w:pStyle w:val="BodyText"/>
        <w:spacing w:before="11"/>
        <w:ind w:left="142" w:firstLine="425"/>
        <w:rPr>
          <w:sz w:val="17"/>
        </w:rPr>
      </w:pPr>
    </w:p>
    <w:p w:rsidR="003817DD" w:rsidRDefault="008D5BDD">
      <w:pPr>
        <w:pStyle w:val="Heading1"/>
        <w:numPr>
          <w:ilvl w:val="0"/>
          <w:numId w:val="1"/>
        </w:numPr>
        <w:tabs>
          <w:tab w:val="left" w:pos="567"/>
          <w:tab w:val="left" w:pos="568"/>
        </w:tabs>
      </w:pPr>
      <w:bookmarkStart w:id="1" w:name="_Hlk184130429"/>
      <w:r>
        <w:t>METHODS</w:t>
      </w:r>
    </w:p>
    <w:p w:rsidR="009536A6" w:rsidRPr="009F78E4" w:rsidRDefault="00C252A2" w:rsidP="009536A6">
      <w:pPr>
        <w:pStyle w:val="NormalWeb"/>
        <w:spacing w:before="0" w:beforeAutospacing="0" w:after="0" w:afterAutospacing="0"/>
        <w:ind w:left="142" w:firstLine="426"/>
        <w:jc w:val="both"/>
        <w:rPr>
          <w:rFonts w:ascii="Palatino Linotype" w:hAnsi="Palatino Linotype"/>
          <w:sz w:val="20"/>
          <w:szCs w:val="20"/>
        </w:rPr>
      </w:pPr>
      <w:r w:rsidRPr="009F78E4">
        <w:rPr>
          <w:rFonts w:ascii="Palatino Linotype" w:hAnsi="Palatino Linotype"/>
          <w:sz w:val="20"/>
          <w:szCs w:val="20"/>
        </w:rPr>
        <w:t xml:space="preserve">The type of research used in this study is </w:t>
      </w:r>
      <w:r w:rsidRPr="009F78E4">
        <w:rPr>
          <w:rStyle w:val="Strong"/>
          <w:rFonts w:ascii="Palatino Linotype" w:hAnsi="Palatino Linotype"/>
          <w:b w:val="0"/>
          <w:sz w:val="20"/>
          <w:szCs w:val="20"/>
        </w:rPr>
        <w:t>qualitative research</w:t>
      </w:r>
      <w:r w:rsidRPr="009F78E4">
        <w:rPr>
          <w:rFonts w:ascii="Palatino Linotype" w:hAnsi="Palatino Linotype"/>
          <w:b/>
          <w:sz w:val="20"/>
          <w:szCs w:val="20"/>
        </w:rPr>
        <w:t xml:space="preserve">, </w:t>
      </w:r>
      <w:r w:rsidRPr="009F78E4">
        <w:rPr>
          <w:rFonts w:ascii="Palatino Linotype" w:hAnsi="Palatino Linotype"/>
          <w:sz w:val="20"/>
          <w:szCs w:val="20"/>
        </w:rPr>
        <w:t xml:space="preserve">which aims to </w:t>
      </w:r>
      <w:r w:rsidRPr="009F78E4">
        <w:rPr>
          <w:rFonts w:ascii="Palatino Linotype" w:hAnsi="Palatino Linotype"/>
          <w:sz w:val="20"/>
          <w:szCs w:val="20"/>
        </w:rPr>
        <w:t xml:space="preserve">explore an in-depth understanding of the phenomena that occur in the implementation of </w:t>
      </w:r>
      <w:r w:rsidRPr="009614B0">
        <w:rPr>
          <w:rStyle w:val="Strong"/>
          <w:rFonts w:ascii="Palatino Linotype" w:hAnsi="Palatino Linotype"/>
          <w:b w:val="0"/>
          <w:i/>
          <w:iCs/>
          <w:sz w:val="20"/>
          <w:szCs w:val="20"/>
        </w:rPr>
        <w:t xml:space="preserve">House Training </w:t>
      </w:r>
      <w:r w:rsidRPr="009F78E4">
        <w:rPr>
          <w:rStyle w:val="Strong"/>
          <w:rFonts w:ascii="Palatino Linotype" w:hAnsi="Palatino Linotype"/>
          <w:b w:val="0"/>
          <w:sz w:val="20"/>
          <w:szCs w:val="20"/>
        </w:rPr>
        <w:t>(IHT</w:t>
      </w:r>
      <w:r w:rsidRPr="009F78E4">
        <w:rPr>
          <w:rFonts w:ascii="Palatino Linotype" w:hAnsi="Palatino Linotype"/>
          <w:sz w:val="20"/>
          <w:szCs w:val="20"/>
        </w:rPr>
        <w:t xml:space="preserve">) and how it improves teacher competence in preparing lesson plans (RPP) or teaching modules by the Merdeka Curriculum. By </w:t>
      </w:r>
      <w:r w:rsidRPr="009F78E4">
        <w:rPr>
          <w:rStyle w:val="Strong"/>
          <w:rFonts w:ascii="Palatino Linotype" w:hAnsi="Palatino Linotype"/>
          <w:b w:val="0"/>
          <w:sz w:val="20"/>
          <w:szCs w:val="20"/>
        </w:rPr>
        <w:t>Sugiyono (2019)</w:t>
      </w:r>
      <w:r w:rsidRPr="009F78E4">
        <w:rPr>
          <w:rFonts w:ascii="Palatino Linotype" w:hAnsi="Palatino Linotype"/>
          <w:b/>
          <w:sz w:val="20"/>
          <w:szCs w:val="20"/>
        </w:rPr>
        <w:t xml:space="preserve">, </w:t>
      </w:r>
      <w:r w:rsidRPr="009F78E4">
        <w:rPr>
          <w:rFonts w:ascii="Palatino Linotype" w:hAnsi="Palatino Linotype"/>
          <w:sz w:val="20"/>
          <w:szCs w:val="20"/>
        </w:rPr>
        <w:t>qualitativ</w:t>
      </w:r>
      <w:r w:rsidRPr="009F78E4">
        <w:rPr>
          <w:rFonts w:ascii="Palatino Linotype" w:hAnsi="Palatino Linotype"/>
          <w:sz w:val="20"/>
          <w:szCs w:val="20"/>
        </w:rPr>
        <w:t xml:space="preserve">e research aims to understand phenomena in their natural context with an in-depth approach to participants' experiences, their interactions, and the processes involved in training and its implementation. Therefore, this research will use the </w:t>
      </w:r>
      <w:r w:rsidRPr="009F78E4">
        <w:rPr>
          <w:rStyle w:val="Strong"/>
          <w:rFonts w:ascii="Palatino Linotype" w:hAnsi="Palatino Linotype"/>
          <w:b w:val="0"/>
          <w:sz w:val="20"/>
          <w:szCs w:val="20"/>
        </w:rPr>
        <w:t xml:space="preserve">case study </w:t>
      </w:r>
      <w:r w:rsidRPr="009F78E4">
        <w:rPr>
          <w:rFonts w:ascii="Palatino Linotype" w:hAnsi="Palatino Linotype"/>
          <w:sz w:val="20"/>
          <w:szCs w:val="20"/>
        </w:rPr>
        <w:t>met</w:t>
      </w:r>
      <w:r w:rsidRPr="009F78E4">
        <w:rPr>
          <w:rFonts w:ascii="Palatino Linotype" w:hAnsi="Palatino Linotype"/>
          <w:sz w:val="20"/>
          <w:szCs w:val="20"/>
        </w:rPr>
        <w:t>hod to get a more holistic picture of the process and results of implementing IHT in Madrasah Ibtidaiyah.</w:t>
      </w:r>
    </w:p>
    <w:p w:rsidR="00B6646C" w:rsidRDefault="00C252A2" w:rsidP="00B6646C">
      <w:pPr>
        <w:pStyle w:val="NormalWeb"/>
        <w:spacing w:before="0" w:beforeAutospacing="0" w:after="0" w:afterAutospacing="0"/>
        <w:ind w:left="142" w:firstLine="426"/>
        <w:jc w:val="both"/>
        <w:rPr>
          <w:rFonts w:ascii="Palatino Linotype" w:hAnsi="Palatino Linotype"/>
          <w:sz w:val="20"/>
          <w:szCs w:val="20"/>
        </w:rPr>
      </w:pPr>
      <w:r w:rsidRPr="009F78E4">
        <w:rPr>
          <w:rFonts w:ascii="Palatino Linotype" w:hAnsi="Palatino Linotype"/>
          <w:sz w:val="20"/>
          <w:szCs w:val="20"/>
        </w:rPr>
        <w:t>The research subjects were teachers who participated in IHT training at one of the Madrasah Ibtidaiyah in Kebakkramat Karanganyar, principals and supe</w:t>
      </w:r>
      <w:r w:rsidRPr="009F78E4">
        <w:rPr>
          <w:rFonts w:ascii="Palatino Linotype" w:hAnsi="Palatino Linotype"/>
          <w:sz w:val="20"/>
          <w:szCs w:val="20"/>
        </w:rPr>
        <w:t xml:space="preserve">rvisors involved in implementing IHT. </w:t>
      </w:r>
      <w:r w:rsidR="009614B0">
        <w:rPr>
          <w:rFonts w:ascii="Palatino Linotype" w:hAnsi="Palatino Linotype"/>
          <w:sz w:val="20"/>
          <w:szCs w:val="20"/>
        </w:rPr>
        <w:t xml:space="preserve">There were 20 teachers, 12 class teachers, eight subject teachers. </w:t>
      </w:r>
      <w:r w:rsidRPr="009F78E4">
        <w:rPr>
          <w:rFonts w:ascii="Palatino Linotype" w:hAnsi="Palatino Linotype"/>
          <w:sz w:val="20"/>
          <w:szCs w:val="20"/>
        </w:rPr>
        <w:t>The research object includes implementing IHT and teacher competence in preparing lesson plans and teaching modules. Data collection techniques include</w:t>
      </w:r>
      <w:r w:rsidRPr="009F78E4">
        <w:rPr>
          <w:rFonts w:ascii="Palatino Linotype" w:hAnsi="Palatino Linotype"/>
          <w:sz w:val="20"/>
          <w:szCs w:val="20"/>
        </w:rPr>
        <w:t xml:space="preserve">d observation, in-depth interviews with teachers, principals and supervisors, and documentation such as lesson plans and training records. </w:t>
      </w:r>
      <w:bookmarkEnd w:id="1"/>
    </w:p>
    <w:p w:rsidR="00B6646C" w:rsidRPr="00B6646C" w:rsidRDefault="00B6646C" w:rsidP="00B6646C">
      <w:pPr>
        <w:pStyle w:val="NormalWeb"/>
        <w:spacing w:before="0" w:beforeAutospacing="0" w:after="0" w:afterAutospacing="0"/>
        <w:ind w:left="142" w:firstLine="426"/>
        <w:jc w:val="both"/>
        <w:rPr>
          <w:rFonts w:ascii="Palatino Linotype" w:hAnsi="Palatino Linotype"/>
          <w:sz w:val="20"/>
          <w:szCs w:val="20"/>
        </w:rPr>
      </w:pPr>
      <w:r w:rsidRPr="00B6646C">
        <w:rPr>
          <w:rFonts w:ascii="Palatino Linotype" w:hAnsi="Palatino Linotype"/>
          <w:sz w:val="20"/>
          <w:szCs w:val="20"/>
        </w:rPr>
        <w:t xml:space="preserve">To ensure the validity of the data, this study used source triangulation and technique triangulation, where data from interviews, observations, and documentation were compared to ensure the consistency and validity of the information. Data analysis was carried out following the analysis model from Miles and </w:t>
      </w:r>
      <w:proofErr w:type="spellStart"/>
      <w:r w:rsidRPr="00B6646C">
        <w:rPr>
          <w:rFonts w:ascii="Palatino Linotype" w:hAnsi="Palatino Linotype"/>
          <w:sz w:val="20"/>
          <w:szCs w:val="20"/>
        </w:rPr>
        <w:t>Huberman</w:t>
      </w:r>
      <w:proofErr w:type="spellEnd"/>
      <w:r w:rsidRPr="00B6646C">
        <w:rPr>
          <w:rFonts w:ascii="Palatino Linotype" w:hAnsi="Palatino Linotype"/>
          <w:sz w:val="20"/>
          <w:szCs w:val="20"/>
        </w:rPr>
        <w:t xml:space="preserve">. According to </w:t>
      </w:r>
      <w:proofErr w:type="spellStart"/>
      <w:r w:rsidRPr="00B6646C">
        <w:rPr>
          <w:rFonts w:ascii="Palatino Linotype" w:hAnsi="Palatino Linotype"/>
          <w:sz w:val="20"/>
          <w:szCs w:val="20"/>
        </w:rPr>
        <w:t>Sutama</w:t>
      </w:r>
      <w:proofErr w:type="spellEnd"/>
      <w:r w:rsidRPr="00B6646C">
        <w:rPr>
          <w:rFonts w:ascii="Palatino Linotype" w:hAnsi="Palatino Linotype"/>
          <w:sz w:val="20"/>
          <w:szCs w:val="20"/>
        </w:rPr>
        <w:t xml:space="preserve"> (2019), the Miles and </w:t>
      </w:r>
      <w:proofErr w:type="spellStart"/>
      <w:r w:rsidRPr="00B6646C">
        <w:rPr>
          <w:rFonts w:ascii="Palatino Linotype" w:hAnsi="Palatino Linotype"/>
          <w:sz w:val="20"/>
          <w:szCs w:val="20"/>
        </w:rPr>
        <w:t>Huberman</w:t>
      </w:r>
      <w:proofErr w:type="spellEnd"/>
      <w:r w:rsidRPr="00B6646C">
        <w:rPr>
          <w:rFonts w:ascii="Palatino Linotype" w:hAnsi="Palatino Linotype"/>
          <w:sz w:val="20"/>
          <w:szCs w:val="20"/>
        </w:rPr>
        <w:t xml:space="preserve"> analysis model includes four stages, namely: data collection, reduction, data presentation, and drawing conclusions.</w:t>
      </w:r>
    </w:p>
    <w:p w:rsidR="00396F1A" w:rsidRDefault="00396F1A" w:rsidP="009536A6">
      <w:pPr>
        <w:pStyle w:val="NormalWeb"/>
        <w:spacing w:before="0" w:beforeAutospacing="0" w:after="0" w:afterAutospacing="0"/>
        <w:jc w:val="both"/>
        <w:rPr>
          <w:rFonts w:ascii="Palatino Linotype" w:hAnsi="Palatino Linotype"/>
          <w:sz w:val="20"/>
          <w:szCs w:val="20"/>
        </w:rPr>
      </w:pPr>
    </w:p>
    <w:p w:rsidR="003817DD" w:rsidRDefault="00C252A2">
      <w:pPr>
        <w:pStyle w:val="Heading1"/>
        <w:numPr>
          <w:ilvl w:val="0"/>
          <w:numId w:val="1"/>
        </w:numPr>
        <w:tabs>
          <w:tab w:val="left" w:pos="567"/>
          <w:tab w:val="left" w:pos="568"/>
        </w:tabs>
      </w:pPr>
      <w:bookmarkStart w:id="2" w:name="_Hlk184130501"/>
      <w:r>
        <w:t>RESULTS AND DISCUSSION</w:t>
      </w:r>
    </w:p>
    <w:p w:rsidR="009536A6" w:rsidRPr="009F78E4" w:rsidRDefault="00C252A2" w:rsidP="009536A6">
      <w:pPr>
        <w:pStyle w:val="NormalWeb"/>
        <w:spacing w:before="0" w:beforeAutospacing="0" w:after="0" w:afterAutospacing="0"/>
        <w:ind w:left="142" w:firstLine="426"/>
        <w:jc w:val="both"/>
        <w:rPr>
          <w:rFonts w:ascii="Palatino Linotype" w:hAnsi="Palatino Linotype"/>
          <w:sz w:val="20"/>
          <w:szCs w:val="20"/>
        </w:rPr>
      </w:pPr>
      <w:r w:rsidRPr="009F78E4">
        <w:rPr>
          <w:rFonts w:ascii="Palatino Linotype" w:hAnsi="Palatino Linotype"/>
          <w:sz w:val="20"/>
          <w:szCs w:val="20"/>
        </w:rPr>
        <w:t>This study aims to analyse how IHT can impro</w:t>
      </w:r>
      <w:r w:rsidRPr="009F78E4">
        <w:rPr>
          <w:rFonts w:ascii="Palatino Linotype" w:hAnsi="Palatino Linotype"/>
          <w:sz w:val="20"/>
          <w:szCs w:val="20"/>
        </w:rPr>
        <w:t xml:space="preserve">ve teachers' competence in preparing teaching modules for the Merdeka Curriculum, focusing on understanding the core components of teaching modules that are by the needs and characteristics of students in Madrasah Ibtidaiyah. Based on the </w:t>
      </w:r>
      <w:r w:rsidRPr="009F78E4">
        <w:rPr>
          <w:rFonts w:ascii="Palatino Linotype" w:hAnsi="Palatino Linotype"/>
          <w:sz w:val="20"/>
          <w:szCs w:val="20"/>
        </w:rPr>
        <w:lastRenderedPageBreak/>
        <w:t>observations made</w:t>
      </w:r>
      <w:r w:rsidRPr="009F78E4">
        <w:rPr>
          <w:rFonts w:ascii="Palatino Linotype" w:hAnsi="Palatino Linotype"/>
          <w:sz w:val="20"/>
          <w:szCs w:val="20"/>
        </w:rPr>
        <w:t xml:space="preserve"> on the implementation of</w:t>
      </w:r>
      <w:r w:rsidRPr="009614B0">
        <w:rPr>
          <w:rFonts w:ascii="Palatino Linotype" w:hAnsi="Palatino Linotype"/>
          <w:i/>
          <w:iCs/>
          <w:sz w:val="20"/>
          <w:szCs w:val="20"/>
        </w:rPr>
        <w:t xml:space="preserve"> House Training </w:t>
      </w:r>
      <w:r w:rsidRPr="009F78E4">
        <w:rPr>
          <w:rFonts w:ascii="Palatino Linotype" w:hAnsi="Palatino Linotype"/>
          <w:sz w:val="20"/>
          <w:szCs w:val="20"/>
        </w:rPr>
        <w:t xml:space="preserve">(IHT) in Madrasah Ibtidaiyah, this training has proven effective in improving teacher competence in preparing </w:t>
      </w:r>
      <w:r w:rsidR="007E2B98" w:rsidRPr="009F78E4">
        <w:rPr>
          <w:rFonts w:ascii="Palatino Linotype" w:hAnsi="Palatino Linotype"/>
          <w:sz w:val="20"/>
          <w:szCs w:val="20"/>
        </w:rPr>
        <w:t xml:space="preserve">learning implementation plans </w:t>
      </w:r>
      <w:r w:rsidRPr="009F78E4">
        <w:rPr>
          <w:rFonts w:ascii="Palatino Linotype" w:hAnsi="Palatino Linotype"/>
          <w:sz w:val="20"/>
          <w:szCs w:val="20"/>
        </w:rPr>
        <w:t xml:space="preserve">and teaching modules by the Merdeka Curriculum. </w:t>
      </w:r>
    </w:p>
    <w:p w:rsidR="009536A6" w:rsidRPr="009F78E4" w:rsidRDefault="00E73FF2" w:rsidP="009536A6">
      <w:pPr>
        <w:ind w:left="142" w:firstLine="426"/>
        <w:jc w:val="both"/>
        <w:rPr>
          <w:sz w:val="20"/>
          <w:szCs w:val="20"/>
        </w:rPr>
      </w:pPr>
      <w:r w:rsidRPr="00E73FF2">
        <w:rPr>
          <w:sz w:val="20"/>
          <w:szCs w:val="20"/>
        </w:rPr>
        <w:t>According to the observation results, the training objectives were conveyed clearly to the participants,</w:t>
      </w:r>
      <w:r>
        <w:rPr>
          <w:sz w:val="20"/>
          <w:szCs w:val="20"/>
        </w:rPr>
        <w:t xml:space="preserve"> </w:t>
      </w:r>
      <w:r w:rsidR="00C252A2" w:rsidRPr="009F78E4">
        <w:rPr>
          <w:sz w:val="20"/>
          <w:szCs w:val="20"/>
        </w:rPr>
        <w:t>85% of participants understanding the objectives well and 90% finding them highly relevant to their needs. The training focused on developing teachers' competencies in develo</w:t>
      </w:r>
      <w:r w:rsidR="00C252A2" w:rsidRPr="009F78E4">
        <w:rPr>
          <w:sz w:val="20"/>
          <w:szCs w:val="20"/>
        </w:rPr>
        <w:t xml:space="preserve">ping character-based lesson plans and teaching modules that meet the needs of students. In the training activities, most participants understood the materials taught, with 80% feeling they understood the basic theory of preparing lesson plans and teaching </w:t>
      </w:r>
      <w:r w:rsidR="00C252A2" w:rsidRPr="009F78E4">
        <w:rPr>
          <w:sz w:val="20"/>
          <w:szCs w:val="20"/>
        </w:rPr>
        <w:t>modules. Group discussions also showed active participation, with 75% of participants actively sharing best practices. However, using educational technology in preparing teaching modules could still be improved, with 70% of participants already using techn</w:t>
      </w:r>
      <w:r w:rsidR="00C252A2" w:rsidRPr="009F78E4">
        <w:rPr>
          <w:sz w:val="20"/>
          <w:szCs w:val="20"/>
        </w:rPr>
        <w:t>ology effectively.</w:t>
      </w:r>
    </w:p>
    <w:p w:rsidR="00396F1A" w:rsidRDefault="00C252A2" w:rsidP="00396F1A">
      <w:pPr>
        <w:ind w:left="142" w:firstLine="426"/>
        <w:jc w:val="both"/>
        <w:rPr>
          <w:sz w:val="20"/>
          <w:szCs w:val="20"/>
        </w:rPr>
      </w:pPr>
      <w:r w:rsidRPr="009F78E4">
        <w:rPr>
          <w:sz w:val="20"/>
          <w:szCs w:val="20"/>
        </w:rPr>
        <w:t xml:space="preserve">Assistance by facilitators during the training proved to be very helpful, with 85% of participants finding it helpful in understanding important components such as </w:t>
      </w:r>
      <w:r w:rsidR="007E2B98" w:rsidRPr="009F78E4">
        <w:rPr>
          <w:sz w:val="20"/>
          <w:szCs w:val="20"/>
        </w:rPr>
        <w:t>learning outcomes</w:t>
      </w:r>
      <w:r w:rsidR="007E2B98">
        <w:rPr>
          <w:sz w:val="20"/>
          <w:szCs w:val="20"/>
        </w:rPr>
        <w:t>, learning objectives</w:t>
      </w:r>
      <w:r w:rsidR="007E2B98" w:rsidRPr="009F78E4">
        <w:rPr>
          <w:sz w:val="20"/>
          <w:szCs w:val="20"/>
        </w:rPr>
        <w:t>, and flow of learning</w:t>
      </w:r>
      <w:r w:rsidR="007E2B98">
        <w:rPr>
          <w:sz w:val="20"/>
          <w:szCs w:val="20"/>
        </w:rPr>
        <w:t xml:space="preserve"> objectives</w:t>
      </w:r>
      <w:r w:rsidRPr="009F78E4">
        <w:rPr>
          <w:sz w:val="20"/>
          <w:szCs w:val="20"/>
        </w:rPr>
        <w:t>. In addition, 80% of participants felt confident in their teaching module development results after applying the learnt materials. In the evaluation and feedback session, 90% of participants felt that the feedback provided was instrument</w:t>
      </w:r>
      <w:r w:rsidRPr="009F78E4">
        <w:rPr>
          <w:sz w:val="20"/>
          <w:szCs w:val="20"/>
        </w:rPr>
        <w:t>al in improving the quality of their teaching modules, and 85% of participants actively received feedback in group discussions. Overall, this IHT training improved teachers' competence in developing lesson plans and teaching modules, with 88% of participan</w:t>
      </w:r>
      <w:r w:rsidRPr="009F78E4">
        <w:rPr>
          <w:sz w:val="20"/>
          <w:szCs w:val="20"/>
        </w:rPr>
        <w:t>ts feeling more prepared to apply the materials in classroom learning and 90% of participants feeling more confident in teaching after attending the training.</w:t>
      </w:r>
      <w:r w:rsidR="007E2B98">
        <w:rPr>
          <w:sz w:val="20"/>
          <w:szCs w:val="20"/>
        </w:rPr>
        <w:t xml:space="preserve"> </w:t>
      </w:r>
      <w:r w:rsidRPr="009F78E4">
        <w:rPr>
          <w:sz w:val="20"/>
          <w:szCs w:val="20"/>
        </w:rPr>
        <w:t>However, there were some recommendations to improve the effectiveness of future training. Partici</w:t>
      </w:r>
      <w:r w:rsidRPr="009F78E4">
        <w:rPr>
          <w:sz w:val="20"/>
          <w:szCs w:val="20"/>
        </w:rPr>
        <w:t>pants suggested that the training time be extended to provide more opportunities for hands-on practice and to introduce more advanced digital technology tools to support the development of teaching modules. In addition, participants also suggested that fee</w:t>
      </w:r>
      <w:r w:rsidRPr="009F78E4">
        <w:rPr>
          <w:sz w:val="20"/>
          <w:szCs w:val="20"/>
        </w:rPr>
        <w:t xml:space="preserve">dback be provided more frequently to help them continue to improve and develop their skills in developing more effective teaching modules. </w:t>
      </w:r>
      <w:bookmarkStart w:id="3" w:name="_Hlk184130537"/>
      <w:bookmarkEnd w:id="2"/>
    </w:p>
    <w:p w:rsidR="00396F1A" w:rsidRDefault="00396F1A" w:rsidP="00396F1A">
      <w:pPr>
        <w:ind w:left="142" w:firstLine="426"/>
        <w:jc w:val="both"/>
        <w:rPr>
          <w:sz w:val="20"/>
          <w:szCs w:val="20"/>
        </w:rPr>
      </w:pPr>
      <w:r w:rsidRPr="00396F1A">
        <w:rPr>
          <w:sz w:val="20"/>
          <w:szCs w:val="20"/>
        </w:rPr>
        <w:t xml:space="preserve">Based on the findings from interviews with the principal, supervisor, and teachers on January 6, 2025, </w:t>
      </w:r>
      <w:r>
        <w:rPr>
          <w:sz w:val="20"/>
          <w:szCs w:val="20"/>
        </w:rPr>
        <w:t xml:space="preserve">In house training </w:t>
      </w:r>
      <w:r w:rsidRPr="00396F1A">
        <w:rPr>
          <w:sz w:val="20"/>
          <w:szCs w:val="20"/>
        </w:rPr>
        <w:t xml:space="preserve">at the </w:t>
      </w:r>
      <w:r w:rsidRPr="00396F1A">
        <w:rPr>
          <w:sz w:val="20"/>
          <w:szCs w:val="20"/>
        </w:rPr>
        <w:t xml:space="preserve">elementary madrasah </w:t>
      </w:r>
      <w:r w:rsidRPr="00396F1A">
        <w:rPr>
          <w:sz w:val="20"/>
          <w:szCs w:val="20"/>
        </w:rPr>
        <w:t xml:space="preserve">played an important role in helping teachers prepare teaching modules that were in accordance with the </w:t>
      </w:r>
      <w:proofErr w:type="spellStart"/>
      <w:r w:rsidRPr="00396F1A">
        <w:rPr>
          <w:sz w:val="20"/>
          <w:szCs w:val="20"/>
        </w:rPr>
        <w:t>Merd</w:t>
      </w:r>
      <w:proofErr w:type="spellEnd"/>
      <w:r w:rsidRPr="00396F1A">
        <w:rPr>
          <w:sz w:val="20"/>
          <w:szCs w:val="20"/>
        </w:rPr>
        <w:t xml:space="preserve"> Curriculum. The training objectives were clearly stated, and 90% of participants felt that the objectives were relevant to their needs. The principal said, </w:t>
      </w:r>
      <w:r w:rsidRPr="00396F1A">
        <w:rPr>
          <w:i/>
          <w:sz w:val="20"/>
          <w:szCs w:val="20"/>
        </w:rPr>
        <w:t>"The training objectives were very clear, and most teachers felt that these objectives were in accordance with their needs."</w:t>
      </w:r>
      <w:r w:rsidRPr="00396F1A">
        <w:rPr>
          <w:sz w:val="20"/>
          <w:szCs w:val="20"/>
        </w:rPr>
        <w:t xml:space="preserve"> The supervisor also supported this statement and emphasized the importance of training to support curriculum implementation and teacher competency development. He stated, </w:t>
      </w:r>
      <w:r w:rsidRPr="00396F1A">
        <w:rPr>
          <w:i/>
          <w:sz w:val="20"/>
          <w:szCs w:val="20"/>
        </w:rPr>
        <w:t>"This training is a strong foundation for developing teacher competency in preparing teaching modules that are in accordance with student needs."</w:t>
      </w:r>
      <w:r w:rsidRPr="00396F1A">
        <w:rPr>
          <w:i/>
          <w:sz w:val="20"/>
          <w:szCs w:val="20"/>
        </w:rPr>
        <w:t xml:space="preserve"> </w:t>
      </w:r>
      <w:r w:rsidR="007E2B98" w:rsidRPr="007E2B98">
        <w:rPr>
          <w:sz w:val="20"/>
          <w:szCs w:val="20"/>
        </w:rPr>
        <w:t xml:space="preserve">Relevant to what the principal and supervisor said, second-grade teachers said that they felt more confident in compiling teaching modules based on student character. </w:t>
      </w:r>
      <w:r w:rsidR="007E2B98" w:rsidRPr="00396F1A">
        <w:rPr>
          <w:i/>
          <w:sz w:val="20"/>
          <w:szCs w:val="20"/>
        </w:rPr>
        <w:t>"This training is very helpful in compiling teaching modules that can accommodate the different needs of students,"</w:t>
      </w:r>
      <w:r w:rsidR="007E2B98" w:rsidRPr="007E2B98">
        <w:rPr>
          <w:sz w:val="20"/>
          <w:szCs w:val="20"/>
        </w:rPr>
        <w:t xml:space="preserve"> said the teacher. This shows that the training was successful in providing teachers with an understanding of learning objectives and how to adapt teaching modules to be more relevant to student character.</w:t>
      </w:r>
    </w:p>
    <w:p w:rsidR="00396F1A" w:rsidRPr="00396F1A" w:rsidRDefault="00396F1A" w:rsidP="00396F1A">
      <w:pPr>
        <w:ind w:left="142" w:firstLine="426"/>
        <w:jc w:val="both"/>
        <w:rPr>
          <w:sz w:val="20"/>
          <w:szCs w:val="20"/>
        </w:rPr>
      </w:pPr>
      <w:r w:rsidRPr="00396F1A">
        <w:rPr>
          <w:sz w:val="20"/>
          <w:szCs w:val="20"/>
        </w:rPr>
        <w:t xml:space="preserve">Mentoring during the training was recognized as an important factor that helped teachers apply the theories they had learned. The principal revealed that the mentoring provided by the facilitator greatly helped teachers understand the preparation of lesson plan documents or teaching modules. The second-grade teacher reinforced this by stating, </w:t>
      </w:r>
      <w:r w:rsidRPr="00396F1A">
        <w:rPr>
          <w:i/>
          <w:sz w:val="20"/>
          <w:szCs w:val="20"/>
        </w:rPr>
        <w:t>"The mentoring from the facilitator was very helpful, but we need more time for direct practice."</w:t>
      </w:r>
      <w:r w:rsidRPr="00396F1A">
        <w:rPr>
          <w:sz w:val="20"/>
          <w:szCs w:val="20"/>
        </w:rPr>
        <w:t xml:space="preserve"> This was also supported by the sixth-grade teacher, who felt that although they had a better understanding of the preparation of teaching modules, a major challenge arose when they implemented the theory in class. She said, </w:t>
      </w:r>
      <w:r w:rsidRPr="00396F1A">
        <w:rPr>
          <w:i/>
          <w:sz w:val="20"/>
          <w:szCs w:val="20"/>
        </w:rPr>
        <w:t>"We need ongoing mentoring after the training to ensure that the teaching modules we created can be implemented well in class."</w:t>
      </w:r>
      <w:r w:rsidRPr="00396F1A">
        <w:rPr>
          <w:sz w:val="20"/>
          <w:szCs w:val="20"/>
        </w:rPr>
        <w:t xml:space="preserve"> </w:t>
      </w:r>
    </w:p>
    <w:p w:rsidR="00295BC7" w:rsidRDefault="00396F1A" w:rsidP="00295BC7">
      <w:pPr>
        <w:ind w:left="142" w:firstLine="426"/>
        <w:jc w:val="both"/>
        <w:rPr>
          <w:sz w:val="20"/>
          <w:szCs w:val="20"/>
        </w:rPr>
      </w:pPr>
      <w:r w:rsidRPr="00396F1A">
        <w:rPr>
          <w:sz w:val="20"/>
          <w:szCs w:val="20"/>
        </w:rPr>
        <w:t xml:space="preserve">The third-grade teacher felt more confident after receiving constructive feedback during the training. The third-grade teacher said, </w:t>
      </w:r>
      <w:r w:rsidRPr="00396F1A">
        <w:rPr>
          <w:i/>
          <w:sz w:val="20"/>
          <w:szCs w:val="20"/>
        </w:rPr>
        <w:t xml:space="preserve">"The feedback I received was very useful for improving the preparation of teaching modules." </w:t>
      </w:r>
      <w:r w:rsidRPr="00396F1A">
        <w:rPr>
          <w:sz w:val="20"/>
          <w:szCs w:val="20"/>
        </w:rPr>
        <w:t>This is in line with the opinion of the supervisor, who considered that evaluation and feedback are important elements in improving the quality of teaching materials. The principal also noted that evaluation during the training helped teachers improve the quality of the lesson plans or teaching modules. The sixth-grade teachers added that although the group feedback was very useful, they felt that more sessions were needed to share and discuss the implementation of the teaching module in the classroom.</w:t>
      </w:r>
    </w:p>
    <w:p w:rsidR="00295BC7" w:rsidRDefault="00295BC7" w:rsidP="00295BC7">
      <w:pPr>
        <w:ind w:left="142" w:firstLine="426"/>
        <w:jc w:val="both"/>
        <w:rPr>
          <w:sz w:val="20"/>
          <w:szCs w:val="20"/>
        </w:rPr>
      </w:pPr>
      <w:r w:rsidRPr="00295BC7">
        <w:rPr>
          <w:sz w:val="20"/>
          <w:szCs w:val="20"/>
        </w:rPr>
        <w:lastRenderedPageBreak/>
        <w:t>Based on the interview results, there was an agreement among supervisors, madrasah principals, and teachers that the IHT training needed to be extended and focused more on hands-on practice. Supervisors suggested that training sessions be given longer so that teachers have more opportunities to practice directly. The same thing was also expressed by first-grade teachers who felt that the training time was too limited and that follow-up was needed. Fifth-grade teachers and religious teachers also agreed on the importance of using technology more optimally in future training. Fourth-grade teachers argued that in order to achieve the goals of the Independent Curriculum, technology must be an integral part of the preparation of teaching modules. All parties, from supervisors and principals to teachers, agreed that for future training, more time should be allocated for direct practice, more effective use of technology, and more regular feedback.</w:t>
      </w:r>
      <w:bookmarkStart w:id="4" w:name="_Hlk184130572"/>
      <w:bookmarkEnd w:id="3"/>
    </w:p>
    <w:p w:rsidR="00A542E0" w:rsidRDefault="00295BC7" w:rsidP="00A542E0">
      <w:pPr>
        <w:ind w:left="142" w:firstLine="426"/>
        <w:jc w:val="both"/>
        <w:rPr>
          <w:sz w:val="20"/>
          <w:szCs w:val="20"/>
        </w:rPr>
      </w:pPr>
      <w:r w:rsidRPr="00295BC7">
        <w:rPr>
          <w:sz w:val="20"/>
          <w:szCs w:val="20"/>
        </w:rPr>
        <w:t xml:space="preserve">The results of the documentation study provide a picture that strengthens the results of the interviews and observations that have been conducted. The following are the results of relevant documentation, which support the findings in the interviews and observations regarding the IHT training: During the training, teachers were asked to prepare lesson implementation plans and teaching modules in accordance with the </w:t>
      </w:r>
      <w:proofErr w:type="spellStart"/>
      <w:r w:rsidRPr="00295BC7">
        <w:rPr>
          <w:sz w:val="20"/>
          <w:szCs w:val="20"/>
        </w:rPr>
        <w:t>Merdeka</w:t>
      </w:r>
      <w:proofErr w:type="spellEnd"/>
      <w:r w:rsidRPr="00295BC7">
        <w:rPr>
          <w:sz w:val="20"/>
          <w:szCs w:val="20"/>
        </w:rPr>
        <w:t xml:space="preserve"> Curriculum. Based on the documentation of the RPP and teaching modules that have been prepared by the training participants, there is clear evidence of an increase in teacher understanding regarding the preparation of more holistic and character-based learning objectives. An example of a teaching module created by a second-grade teacher shows an effort to create more structured learning activities, with the integration of learning outcomes, learning objectives, and learning objective flows that are in accordance with the characteristics of students in the class. This is in line with the results of the interview with the head of the madrasah, who stated that the training had motivated teachers to be more creative in preparing materials that are more relevant to students' needs. Some teachers still face difficulties in designing differentiated learning for students with diverse abilities. However, there are real efforts to overcome these difficulties, and this documentation indicates a deeper understanding of differentiated learning.</w:t>
      </w:r>
    </w:p>
    <w:p w:rsidR="00A542E0" w:rsidRPr="00A542E0" w:rsidRDefault="00A542E0" w:rsidP="00A542E0">
      <w:pPr>
        <w:ind w:left="142" w:firstLine="426"/>
        <w:jc w:val="both"/>
        <w:rPr>
          <w:sz w:val="20"/>
          <w:szCs w:val="20"/>
        </w:rPr>
      </w:pPr>
      <w:r w:rsidRPr="00A542E0">
        <w:rPr>
          <w:sz w:val="20"/>
          <w:szCs w:val="20"/>
        </w:rPr>
        <w:t xml:space="preserve">During the training, researchers also recorded individual and group feedback sessions on the teaching modules that had been prepared by the teachers. The principal and supervisors involved in the evaluation session provided direct feedback to the participants, providing input on strengths and weaknesses in the preparation of the teaching modules. This documentation shows that 90% of participants received positive feedback, which strengthens the interview findings that feedback was very helpful in improving the quality of the teaching modules. However, the documentation also noted complaints regarding the duration of the feedback sessions being too short, so that some participants felt they did not have enough opportunity to ask questions or for further clarification. This also reflects a mutual agreement to add time to the discussion and feedback sessions. </w:t>
      </w:r>
    </w:p>
    <w:p w:rsidR="00A542E0" w:rsidRPr="00A542E0" w:rsidRDefault="00A542E0" w:rsidP="00A542E0">
      <w:pPr>
        <w:ind w:left="142" w:firstLine="426"/>
        <w:jc w:val="both"/>
        <w:rPr>
          <w:sz w:val="20"/>
          <w:szCs w:val="20"/>
        </w:rPr>
      </w:pPr>
      <w:r w:rsidRPr="00A542E0">
        <w:rPr>
          <w:sz w:val="20"/>
          <w:szCs w:val="20"/>
        </w:rPr>
        <w:t xml:space="preserve">Documentation during the teaching simulation shows that most teachers successfully implemented the teaching modules that had been prepared in teaching scenarios. The first-grade teachers and fifth-grade teachers involved in the teaching simulation demonstrated effective application of the material that had been learned. This simulation was also followed by observations by supervisors and principals, who provided direct feedback on time management and the learning methods used. However, several teachers expressed that although they felt more confident after the training, they still found it difficult to manage time between theory and practice during the teaching simulation. This documentation supports the results of the interview with the second-grade teacher, who stated that they needed more time to practice in order to be able to optimally implement the material that had been learned. </w:t>
      </w:r>
    </w:p>
    <w:p w:rsidR="00935BFF" w:rsidRDefault="00A542E0" w:rsidP="00935BFF">
      <w:pPr>
        <w:ind w:left="142" w:firstLine="426"/>
        <w:jc w:val="both"/>
        <w:rPr>
          <w:sz w:val="20"/>
          <w:szCs w:val="20"/>
        </w:rPr>
      </w:pPr>
      <w:r w:rsidRPr="00A542E0">
        <w:rPr>
          <w:sz w:val="20"/>
          <w:szCs w:val="20"/>
        </w:rPr>
        <w:t xml:space="preserve">The documentation of the activity evaluation, which included the results of reflective discussions from the participants, showed that 95% of participants considered the training very useful and provided recommendations to extend the duration of the training and provide more time for direct practice. This supports the findings from the interview with the second-grade teacher, who suggested that the next training focus more on direct practice and intensive mentoring. This recommendation was also supported by the principal, who suggested that ongoing mentoring be carried out after the training in order to be able to go deeper into the implementation of the </w:t>
      </w:r>
      <w:proofErr w:type="spellStart"/>
      <w:r w:rsidRPr="00A542E0">
        <w:rPr>
          <w:sz w:val="20"/>
          <w:szCs w:val="20"/>
        </w:rPr>
        <w:t>Merdeka</w:t>
      </w:r>
      <w:proofErr w:type="spellEnd"/>
      <w:r w:rsidRPr="00A542E0">
        <w:rPr>
          <w:sz w:val="20"/>
          <w:szCs w:val="20"/>
        </w:rPr>
        <w:t xml:space="preserve"> Curriculum.</w:t>
      </w:r>
    </w:p>
    <w:p w:rsidR="00DE2031" w:rsidRPr="00DE2031" w:rsidRDefault="00935BFF" w:rsidP="00935BFF">
      <w:pPr>
        <w:ind w:left="142" w:firstLine="426"/>
        <w:jc w:val="both"/>
        <w:rPr>
          <w:sz w:val="20"/>
          <w:szCs w:val="20"/>
        </w:rPr>
      </w:pPr>
      <w:r w:rsidRPr="00DE2031">
        <w:rPr>
          <w:sz w:val="20"/>
          <w:szCs w:val="20"/>
        </w:rPr>
        <w:t xml:space="preserve">The results of this study indicate that IHT training in Madrasah </w:t>
      </w:r>
      <w:proofErr w:type="spellStart"/>
      <w:r w:rsidRPr="00DE2031">
        <w:rPr>
          <w:sz w:val="20"/>
          <w:szCs w:val="20"/>
        </w:rPr>
        <w:t>Ibtidaiyah</w:t>
      </w:r>
      <w:proofErr w:type="spellEnd"/>
      <w:r w:rsidRPr="00DE2031">
        <w:rPr>
          <w:sz w:val="20"/>
          <w:szCs w:val="20"/>
        </w:rPr>
        <w:t xml:space="preserve"> can help teachers develop their competence in compiling lesson plans and teaching modules that are in accordance with the </w:t>
      </w:r>
      <w:proofErr w:type="spellStart"/>
      <w:r w:rsidRPr="00DE2031">
        <w:rPr>
          <w:sz w:val="20"/>
          <w:szCs w:val="20"/>
        </w:rPr>
        <w:t>Merdeka</w:t>
      </w:r>
      <w:proofErr w:type="spellEnd"/>
      <w:r w:rsidRPr="00DE2031">
        <w:rPr>
          <w:sz w:val="20"/>
          <w:szCs w:val="20"/>
        </w:rPr>
        <w:t xml:space="preserve"> Curriculum. This IHT training focuses on understanding the components of teaching modules, such as learning outcomes, learning objectives, and learning objective flows, so that they can better </w:t>
      </w:r>
      <w:r w:rsidRPr="00DE2031">
        <w:rPr>
          <w:sz w:val="20"/>
          <w:szCs w:val="20"/>
        </w:rPr>
        <w:lastRenderedPageBreak/>
        <w:t xml:space="preserve">accommodate students' needs holistically. This finding is in line with </w:t>
      </w:r>
      <w:proofErr w:type="spellStart"/>
      <w:r w:rsidRPr="00DE2031">
        <w:rPr>
          <w:sz w:val="20"/>
          <w:szCs w:val="20"/>
        </w:rPr>
        <w:t>Yuhaga's</w:t>
      </w:r>
      <w:proofErr w:type="spellEnd"/>
      <w:r w:rsidRPr="00DE2031">
        <w:rPr>
          <w:sz w:val="20"/>
          <w:szCs w:val="20"/>
        </w:rPr>
        <w:t xml:space="preserve"> (2023) research, which shows that training at SD </w:t>
      </w:r>
      <w:proofErr w:type="spellStart"/>
      <w:r w:rsidRPr="00DE2031">
        <w:rPr>
          <w:sz w:val="20"/>
          <w:szCs w:val="20"/>
        </w:rPr>
        <w:t>Negeri</w:t>
      </w:r>
      <w:proofErr w:type="spellEnd"/>
      <w:r w:rsidRPr="00DE2031">
        <w:rPr>
          <w:sz w:val="20"/>
          <w:szCs w:val="20"/>
        </w:rPr>
        <w:t xml:space="preserve"> 1 </w:t>
      </w:r>
      <w:proofErr w:type="spellStart"/>
      <w:r w:rsidRPr="00DE2031">
        <w:rPr>
          <w:sz w:val="20"/>
          <w:szCs w:val="20"/>
        </w:rPr>
        <w:t>Pandran</w:t>
      </w:r>
      <w:proofErr w:type="spellEnd"/>
      <w:r w:rsidRPr="00DE2031">
        <w:rPr>
          <w:sz w:val="20"/>
          <w:szCs w:val="20"/>
        </w:rPr>
        <w:t xml:space="preserve"> Raya has helped teachers understand the main components of teaching modules, such as learning objectives and evaluations, which make teaching modules more systematic. The results of this study reinforce that understanding the components of teaching modules is very important for creating learning that is in accordance with the </w:t>
      </w:r>
      <w:proofErr w:type="spellStart"/>
      <w:r w:rsidRPr="00DE2031">
        <w:rPr>
          <w:sz w:val="20"/>
          <w:szCs w:val="20"/>
        </w:rPr>
        <w:t>Merdeka</w:t>
      </w:r>
      <w:proofErr w:type="spellEnd"/>
      <w:r w:rsidRPr="00DE2031">
        <w:rPr>
          <w:sz w:val="20"/>
          <w:szCs w:val="20"/>
        </w:rPr>
        <w:t xml:space="preserve"> Curriculum. The difference in the current study is that there is an additional focus on intensive mentoring, which provides direct guidance to teachers in compiling teaching modules that are in accordance with the needs of students in Madrasah </w:t>
      </w:r>
      <w:proofErr w:type="spellStart"/>
      <w:r w:rsidRPr="00DE2031">
        <w:rPr>
          <w:sz w:val="20"/>
          <w:szCs w:val="20"/>
        </w:rPr>
        <w:t>Ibtidaiyah</w:t>
      </w:r>
      <w:proofErr w:type="spellEnd"/>
      <w:r w:rsidRPr="00DE2031">
        <w:rPr>
          <w:sz w:val="20"/>
          <w:szCs w:val="20"/>
        </w:rPr>
        <w:t xml:space="preserve">. </w:t>
      </w:r>
    </w:p>
    <w:p w:rsidR="00DE2031" w:rsidRDefault="00DE2031" w:rsidP="00DE2031">
      <w:pPr>
        <w:ind w:left="142" w:firstLine="426"/>
        <w:jc w:val="both"/>
        <w:rPr>
          <w:sz w:val="20"/>
          <w:szCs w:val="20"/>
        </w:rPr>
      </w:pPr>
      <w:r>
        <w:rPr>
          <w:sz w:val="20"/>
          <w:szCs w:val="20"/>
        </w:rPr>
        <w:t>T</w:t>
      </w:r>
      <w:r w:rsidR="00935BFF" w:rsidRPr="00DE2031">
        <w:rPr>
          <w:sz w:val="20"/>
          <w:szCs w:val="20"/>
        </w:rPr>
        <w:t xml:space="preserve">his study also revealed that the main challenge lies in improving teachers' digital skills, which still require support through more intensive technical training. This finding is relevant to </w:t>
      </w:r>
      <w:proofErr w:type="spellStart"/>
      <w:r w:rsidR="00935BFF" w:rsidRPr="00DE2031">
        <w:rPr>
          <w:sz w:val="20"/>
          <w:szCs w:val="20"/>
        </w:rPr>
        <w:t>Nuruningsih</w:t>
      </w:r>
      <w:proofErr w:type="spellEnd"/>
      <w:r w:rsidR="00935BFF" w:rsidRPr="00DE2031">
        <w:rPr>
          <w:sz w:val="20"/>
          <w:szCs w:val="20"/>
        </w:rPr>
        <w:t xml:space="preserve"> &amp; </w:t>
      </w:r>
      <w:proofErr w:type="spellStart"/>
      <w:r w:rsidR="00935BFF" w:rsidRPr="00DE2031">
        <w:rPr>
          <w:sz w:val="20"/>
          <w:szCs w:val="20"/>
        </w:rPr>
        <w:t>Palupi</w:t>
      </w:r>
      <w:proofErr w:type="spellEnd"/>
      <w:r w:rsidR="00935BFF" w:rsidRPr="00DE2031">
        <w:rPr>
          <w:sz w:val="20"/>
          <w:szCs w:val="20"/>
        </w:rPr>
        <w:t xml:space="preserve"> (2021), which shows that the Focus Group Discussion (FGD) method in IHT is effective in supporting the preparation of contextual learning designs without ignoring the use of technology. However, in this study, the challenges related to the use of technology became more prominent, with some participants feeling less ready to use digital tools to prepare teaching modules. This is different from </w:t>
      </w:r>
      <w:proofErr w:type="spellStart"/>
      <w:r w:rsidR="00935BFF" w:rsidRPr="00DE2031">
        <w:rPr>
          <w:sz w:val="20"/>
          <w:szCs w:val="20"/>
        </w:rPr>
        <w:t>Khaerani's</w:t>
      </w:r>
      <w:proofErr w:type="spellEnd"/>
      <w:r w:rsidR="00935BFF" w:rsidRPr="00DE2031">
        <w:rPr>
          <w:sz w:val="20"/>
          <w:szCs w:val="20"/>
        </w:rPr>
        <w:t xml:space="preserve"> (2016) research, which emphasizes basic skills in preparing teaching devices without focusing on the technological aspect. This strengthens the finding that improving digital competence is a very important need to support the optimization of the preparation of teaching modules.</w:t>
      </w:r>
    </w:p>
    <w:p w:rsidR="00DE2031" w:rsidRPr="00DE2031" w:rsidRDefault="00DE2031" w:rsidP="00DE2031">
      <w:pPr>
        <w:ind w:left="142" w:firstLine="426"/>
        <w:jc w:val="both"/>
        <w:rPr>
          <w:sz w:val="20"/>
          <w:szCs w:val="20"/>
        </w:rPr>
      </w:pPr>
      <w:r w:rsidRPr="00DE2031">
        <w:rPr>
          <w:sz w:val="20"/>
          <w:szCs w:val="20"/>
        </w:rPr>
        <w:t xml:space="preserve">The mentoring provided during the IHT training proved to be very helpful for teachers in understanding and applying the theory of compiling lesson plans and teaching modules. 85% of participants felt helped in understanding components such as learning outcomes, learning objectives, and learning objective flow. This is in line with the findings in </w:t>
      </w:r>
      <w:proofErr w:type="spellStart"/>
      <w:r w:rsidRPr="00DE2031">
        <w:rPr>
          <w:sz w:val="20"/>
          <w:szCs w:val="20"/>
        </w:rPr>
        <w:t>Mahanani's</w:t>
      </w:r>
      <w:proofErr w:type="spellEnd"/>
      <w:r w:rsidRPr="00DE2031">
        <w:rPr>
          <w:sz w:val="20"/>
          <w:szCs w:val="20"/>
        </w:rPr>
        <w:t xml:space="preserve"> (2023) study, which noted that intensive mentoring at SD </w:t>
      </w:r>
      <w:proofErr w:type="spellStart"/>
      <w:r w:rsidRPr="00DE2031">
        <w:rPr>
          <w:sz w:val="20"/>
          <w:szCs w:val="20"/>
        </w:rPr>
        <w:t>Negeri</w:t>
      </w:r>
      <w:proofErr w:type="spellEnd"/>
      <w:r w:rsidRPr="00DE2031">
        <w:rPr>
          <w:sz w:val="20"/>
          <w:szCs w:val="20"/>
        </w:rPr>
        <w:t xml:space="preserve"> 3 </w:t>
      </w:r>
      <w:proofErr w:type="spellStart"/>
      <w:r w:rsidRPr="00DE2031">
        <w:rPr>
          <w:sz w:val="20"/>
          <w:szCs w:val="20"/>
        </w:rPr>
        <w:t>Kalanglundo</w:t>
      </w:r>
      <w:proofErr w:type="spellEnd"/>
      <w:r w:rsidRPr="00DE2031">
        <w:rPr>
          <w:sz w:val="20"/>
          <w:szCs w:val="20"/>
        </w:rPr>
        <w:t xml:space="preserve"> helped teachers in compiling teaching modules better. In this study, mentoring was a key aspect that facilitated the application of the material studied by teachers, although there was still a request for longer practice time. This is different from </w:t>
      </w:r>
      <w:proofErr w:type="spellStart"/>
      <w:r w:rsidRPr="00DE2031">
        <w:rPr>
          <w:sz w:val="20"/>
          <w:szCs w:val="20"/>
        </w:rPr>
        <w:t>Khaerani's</w:t>
      </w:r>
      <w:proofErr w:type="spellEnd"/>
      <w:r w:rsidRPr="00DE2031">
        <w:rPr>
          <w:sz w:val="20"/>
          <w:szCs w:val="20"/>
        </w:rPr>
        <w:t xml:space="preserve"> (2016) study, which emphasized that an in-depth understanding of the components of the lesson plan would improve the quality of teaching materials, but in this study, teachers wanted further mentoring after training to ensure that the teaching modules that had been prepared could be implemented effectively in the classroom.</w:t>
      </w:r>
    </w:p>
    <w:p w:rsidR="00DE2031" w:rsidRPr="00DE2031" w:rsidRDefault="00DE2031" w:rsidP="00DE2031">
      <w:pPr>
        <w:ind w:left="142" w:firstLine="426"/>
        <w:jc w:val="both"/>
        <w:rPr>
          <w:rFonts w:ascii="Times New Roman" w:eastAsia="Times New Roman" w:hAnsi="Times New Roman" w:cs="Times New Roman"/>
          <w:sz w:val="20"/>
          <w:szCs w:val="20"/>
        </w:rPr>
      </w:pPr>
      <w:r w:rsidRPr="00DE2031">
        <w:rPr>
          <w:sz w:val="20"/>
          <w:szCs w:val="20"/>
        </w:rPr>
        <w:t xml:space="preserve"> The feedback received by participants during the IHT training proved to be very helpful in improving the quality of their lesson plans and teaching modules. Most participants felt more confident in teaching after receiving constructive feedback. Evaluation documentation shows that 90% of participants felt that the feedback was very useful for improving the quality of their teaching materials, which is in line with the findings in the study by </w:t>
      </w:r>
      <w:proofErr w:type="spellStart"/>
      <w:r w:rsidRPr="00DE2031">
        <w:rPr>
          <w:sz w:val="20"/>
          <w:szCs w:val="20"/>
        </w:rPr>
        <w:t>Virgiyanti</w:t>
      </w:r>
      <w:proofErr w:type="spellEnd"/>
      <w:r w:rsidRPr="00DE2031">
        <w:rPr>
          <w:sz w:val="20"/>
          <w:szCs w:val="20"/>
        </w:rPr>
        <w:t xml:space="preserve"> et al. (2023), which also emphasizes the importance of continuous evaluation and feedback in IHT training to improve the quality of learning. In contrast to the findings in the study by </w:t>
      </w:r>
      <w:proofErr w:type="spellStart"/>
      <w:r w:rsidRPr="00DE2031">
        <w:rPr>
          <w:sz w:val="20"/>
          <w:szCs w:val="20"/>
        </w:rPr>
        <w:t>Pangestuti</w:t>
      </w:r>
      <w:proofErr w:type="spellEnd"/>
      <w:r w:rsidRPr="00DE2031">
        <w:rPr>
          <w:sz w:val="20"/>
          <w:szCs w:val="20"/>
        </w:rPr>
        <w:t xml:space="preserve"> (2022), which emphasized strengthening character values ​​in training, this study highlights more how individual and group feedback plays a role in improving the quality of teaching modules that have been prepared by participants.</w:t>
      </w:r>
    </w:p>
    <w:p w:rsidR="00DE2031" w:rsidRPr="00DE2031" w:rsidRDefault="00DE2031" w:rsidP="00935BFF">
      <w:pPr>
        <w:ind w:left="142" w:firstLine="426"/>
        <w:jc w:val="both"/>
        <w:rPr>
          <w:rFonts w:ascii="Times New Roman" w:eastAsia="Times New Roman" w:hAnsi="Times New Roman" w:cs="Times New Roman"/>
          <w:sz w:val="20"/>
          <w:szCs w:val="20"/>
        </w:rPr>
      </w:pPr>
    </w:p>
    <w:p w:rsidR="00237B2C" w:rsidRPr="00237B2C" w:rsidRDefault="00C252A2" w:rsidP="00237B2C">
      <w:pPr>
        <w:pStyle w:val="ListParagraph"/>
        <w:numPr>
          <w:ilvl w:val="0"/>
          <w:numId w:val="1"/>
        </w:numPr>
        <w:jc w:val="both"/>
        <w:rPr>
          <w:b/>
          <w:bCs/>
          <w:sz w:val="24"/>
          <w:szCs w:val="24"/>
          <w:lang w:val="en-ID"/>
        </w:rPr>
      </w:pPr>
      <w:bookmarkStart w:id="5" w:name="_Hlk184130618"/>
      <w:bookmarkEnd w:id="4"/>
      <w:r w:rsidRPr="00237B2C">
        <w:rPr>
          <w:b/>
          <w:bCs/>
          <w:sz w:val="24"/>
          <w:szCs w:val="24"/>
          <w:lang w:val="en-ID"/>
        </w:rPr>
        <w:t>Conclusion</w:t>
      </w:r>
    </w:p>
    <w:p w:rsidR="00EC1441" w:rsidRDefault="00C252A2" w:rsidP="00EC1441">
      <w:pPr>
        <w:ind w:left="142" w:firstLine="426"/>
        <w:jc w:val="both"/>
        <w:rPr>
          <w:sz w:val="20"/>
          <w:szCs w:val="20"/>
          <w:lang w:val="en-ID"/>
        </w:rPr>
      </w:pPr>
      <w:r w:rsidRPr="00237B2C">
        <w:rPr>
          <w:sz w:val="20"/>
          <w:szCs w:val="20"/>
          <w:lang w:val="en-ID"/>
        </w:rPr>
        <w:t>Overall, the training carried out at Madrasah Ibtidaiyah in implement</w:t>
      </w:r>
      <w:r w:rsidRPr="00237B2C">
        <w:rPr>
          <w:i/>
          <w:iCs/>
          <w:sz w:val="20"/>
          <w:szCs w:val="20"/>
          <w:lang w:val="en-ID"/>
        </w:rPr>
        <w:t xml:space="preserve">ing In-House Training </w:t>
      </w:r>
      <w:r w:rsidRPr="00237B2C">
        <w:rPr>
          <w:sz w:val="20"/>
          <w:szCs w:val="20"/>
          <w:lang w:val="en-ID"/>
        </w:rPr>
        <w:t>(IHT) significantly improves teacher competenc</w:t>
      </w:r>
      <w:r w:rsidRPr="00237B2C">
        <w:rPr>
          <w:sz w:val="20"/>
          <w:szCs w:val="20"/>
          <w:lang w:val="en-ID"/>
        </w:rPr>
        <w:t xml:space="preserve">e, especially in developing teaching modules for the Merdeka Curriculum. </w:t>
      </w:r>
      <w:r w:rsidR="00EC1441" w:rsidRPr="00EC1441">
        <w:rPr>
          <w:sz w:val="20"/>
          <w:szCs w:val="20"/>
          <w:lang w:val="en-ID"/>
        </w:rPr>
        <w:t>In-House Training can help teachers develop their competence in compiling lesson plans or teaching modules that are appropriate to the needs of students in elementary madrasahs. As many as 85% of teachers felt helped in understanding important components in teaching modules, 80% were confident with the results of compiling teaching modules, 90% felt that the feedback given was very useful for improving the quality of teaching modules, and 85% of teachers actively received feedback in group discussions. Intensive mentoring and constructive feedback during training helped teachers overcome challenges in compiling teaching modules, although technology integration and direct practice time still require further attention. The implications of this study are the importance of intensive mentoring, increasing the use of technology, and continuous evaluation to ensure that teacher competence continues to develop in compiling teaching materials that are appropriate to students' needs.</w:t>
      </w:r>
    </w:p>
    <w:p w:rsidR="00237B2C" w:rsidRPr="009F78E4" w:rsidRDefault="00EC1441" w:rsidP="00EC1441">
      <w:pPr>
        <w:ind w:left="142" w:firstLine="426"/>
        <w:jc w:val="both"/>
        <w:rPr>
          <w:sz w:val="20"/>
          <w:szCs w:val="20"/>
        </w:rPr>
      </w:pPr>
      <w:r w:rsidRPr="00EC1441">
        <w:rPr>
          <w:sz w:val="20"/>
          <w:szCs w:val="20"/>
          <w:lang w:val="en-ID"/>
        </w:rPr>
        <w:t xml:space="preserve"> This study was limited to one elementary madrasah so that the results did not represent a wider context and the short duration of the training limited teachers' direct practice. To overcome this, it is recommended to involve more madrasahs to get more representative results and the duration is extended </w:t>
      </w:r>
      <w:r w:rsidRPr="00EC1441">
        <w:rPr>
          <w:sz w:val="20"/>
          <w:szCs w:val="20"/>
          <w:lang w:val="en-ID"/>
        </w:rPr>
        <w:lastRenderedPageBreak/>
        <w:t>to improve direct practice, and supporting materials such as guides or video tutorials are provided. In addition, continuous evaluation is needed to ensure that teachers continue to develop in compiling teaching modules according to student needs.</w:t>
      </w:r>
    </w:p>
    <w:bookmarkEnd w:id="5"/>
    <w:p w:rsidR="005A2EDA" w:rsidRDefault="005A2EDA" w:rsidP="005A2EDA">
      <w:pPr>
        <w:pStyle w:val="NormalWeb"/>
        <w:spacing w:before="0" w:beforeAutospacing="0" w:after="0" w:afterAutospacing="0"/>
        <w:ind w:left="142" w:firstLine="426"/>
        <w:jc w:val="both"/>
        <w:rPr>
          <w:sz w:val="21"/>
        </w:rPr>
      </w:pPr>
    </w:p>
    <w:p w:rsidR="003817DD" w:rsidRDefault="00C252A2">
      <w:pPr>
        <w:pStyle w:val="Heading1"/>
        <w:spacing w:before="36"/>
      </w:pPr>
      <w:bookmarkStart w:id="6" w:name="_Hlk184130807"/>
      <w:r>
        <w:t>LITERATURE</w:t>
      </w:r>
    </w:p>
    <w:p w:rsidR="005A2EDA" w:rsidRPr="007762F3" w:rsidRDefault="00C252A2" w:rsidP="005A2EDA">
      <w:pPr>
        <w:ind w:left="567" w:hanging="425"/>
        <w:jc w:val="both"/>
        <w:rPr>
          <w:rFonts w:cs="Arial"/>
          <w:sz w:val="20"/>
          <w:szCs w:val="20"/>
          <w:shd w:val="clear" w:color="auto" w:fill="FFFFFF"/>
        </w:rPr>
      </w:pPr>
      <w:r w:rsidRPr="007762F3">
        <w:rPr>
          <w:rFonts w:cs="Arial"/>
          <w:sz w:val="20"/>
          <w:szCs w:val="20"/>
          <w:shd w:val="clear" w:color="auto" w:fill="FFFFFF"/>
        </w:rPr>
        <w:t xml:space="preserve">Buchari, A. (2018). The role of teachers in learning </w:t>
      </w:r>
      <w:r w:rsidRPr="007762F3">
        <w:rPr>
          <w:rFonts w:cs="Arial"/>
          <w:sz w:val="20"/>
          <w:szCs w:val="20"/>
          <w:shd w:val="clear" w:color="auto" w:fill="FFFFFF"/>
        </w:rPr>
        <w:t xml:space="preserve">management. </w:t>
      </w:r>
      <w:r w:rsidRPr="007762F3">
        <w:rPr>
          <w:rFonts w:cs="Arial"/>
          <w:i/>
          <w:iCs/>
          <w:sz w:val="20"/>
          <w:szCs w:val="20"/>
          <w:shd w:val="clear" w:color="auto" w:fill="FFFFFF"/>
        </w:rPr>
        <w:t>Iqra' Scientific Journal</w:t>
      </w:r>
      <w:r w:rsidRPr="007762F3">
        <w:rPr>
          <w:rFonts w:cs="Arial"/>
          <w:sz w:val="20"/>
          <w:szCs w:val="20"/>
          <w:shd w:val="clear" w:color="auto" w:fill="FFFFFF"/>
        </w:rPr>
        <w:t xml:space="preserve">, </w:t>
      </w:r>
      <w:r w:rsidRPr="007762F3">
        <w:rPr>
          <w:rFonts w:cs="Arial"/>
          <w:i/>
          <w:iCs/>
          <w:sz w:val="20"/>
          <w:szCs w:val="20"/>
          <w:shd w:val="clear" w:color="auto" w:fill="FFFFFF"/>
        </w:rPr>
        <w:t>12</w:t>
      </w:r>
      <w:r w:rsidRPr="007762F3">
        <w:rPr>
          <w:rFonts w:cs="Arial"/>
          <w:sz w:val="20"/>
          <w:szCs w:val="20"/>
          <w:shd w:val="clear" w:color="auto" w:fill="FFFFFF"/>
        </w:rPr>
        <w:t xml:space="preserve">(2), 106–124. </w:t>
      </w:r>
      <w:hyperlink r:id="rId13" w:history="1">
        <w:r w:rsidRPr="007762F3">
          <w:rPr>
            <w:rStyle w:val="Hyperlink"/>
            <w:rFonts w:cs="Arial"/>
            <w:color w:val="auto"/>
            <w:sz w:val="20"/>
            <w:szCs w:val="20"/>
            <w:u w:val="none"/>
            <w:shd w:val="clear" w:color="auto" w:fill="FFFFFF"/>
          </w:rPr>
          <w:t>http://dx.doi.org/10.30984/jii.v12i2.897</w:t>
        </w:r>
      </w:hyperlink>
    </w:p>
    <w:p w:rsidR="005A2EDA" w:rsidRPr="007762F3" w:rsidRDefault="00C252A2" w:rsidP="005A2EDA">
      <w:pPr>
        <w:ind w:left="567" w:hanging="425"/>
        <w:jc w:val="both"/>
        <w:rPr>
          <w:rFonts w:cs="Arial"/>
          <w:sz w:val="20"/>
          <w:szCs w:val="20"/>
          <w:shd w:val="clear" w:color="auto" w:fill="FFFFFF"/>
        </w:rPr>
      </w:pPr>
      <w:r w:rsidRPr="007762F3">
        <w:rPr>
          <w:rFonts w:cs="Arial"/>
          <w:sz w:val="20"/>
          <w:szCs w:val="20"/>
          <w:shd w:val="clear" w:color="auto" w:fill="FFFFFF"/>
        </w:rPr>
        <w:t>Handayani, H. R. (2019). Improving Teacher Competence in Developing Lesson Plans and Implementing Learni</w:t>
      </w:r>
      <w:r w:rsidRPr="007762F3">
        <w:rPr>
          <w:rFonts w:cs="Arial"/>
          <w:sz w:val="20"/>
          <w:szCs w:val="20"/>
          <w:shd w:val="clear" w:color="auto" w:fill="FFFFFF"/>
        </w:rPr>
        <w:t xml:space="preserve">ng through IHT (In-House Training) Techniques. </w:t>
      </w:r>
      <w:r w:rsidRPr="007762F3">
        <w:rPr>
          <w:rFonts w:cs="Arial"/>
          <w:i/>
          <w:iCs/>
          <w:sz w:val="20"/>
          <w:szCs w:val="20"/>
          <w:shd w:val="clear" w:color="auto" w:fill="FFFFFF"/>
        </w:rPr>
        <w:t>Ideguru: Journal of Teacher Scientific Work</w:t>
      </w:r>
      <w:r w:rsidRPr="007762F3">
        <w:rPr>
          <w:rFonts w:cs="Arial"/>
          <w:sz w:val="20"/>
          <w:szCs w:val="20"/>
          <w:shd w:val="clear" w:color="auto" w:fill="FFFFFF"/>
        </w:rPr>
        <w:t xml:space="preserve">, </w:t>
      </w:r>
      <w:r w:rsidRPr="007762F3">
        <w:rPr>
          <w:rFonts w:cs="Arial"/>
          <w:i/>
          <w:iCs/>
          <w:sz w:val="20"/>
          <w:szCs w:val="20"/>
          <w:shd w:val="clear" w:color="auto" w:fill="FFFFFF"/>
        </w:rPr>
        <w:t>4</w:t>
      </w:r>
      <w:r w:rsidRPr="007762F3">
        <w:rPr>
          <w:rFonts w:cs="Arial"/>
          <w:sz w:val="20"/>
          <w:szCs w:val="20"/>
          <w:shd w:val="clear" w:color="auto" w:fill="FFFFFF"/>
        </w:rPr>
        <w:t>(1), 32</w:t>
      </w:r>
      <w:r w:rsidR="005B6075" w:rsidRPr="007762F3">
        <w:rPr>
          <w:rFonts w:cs="Arial"/>
          <w:sz w:val="20"/>
          <w:szCs w:val="20"/>
          <w:shd w:val="clear" w:color="auto" w:fill="FFFFFF"/>
        </w:rPr>
        <w:t>–</w:t>
      </w:r>
      <w:r w:rsidRPr="007762F3">
        <w:rPr>
          <w:rFonts w:cs="Arial"/>
          <w:sz w:val="20"/>
          <w:szCs w:val="20"/>
          <w:shd w:val="clear" w:color="auto" w:fill="FFFFFF"/>
        </w:rPr>
        <w:t xml:space="preserve">36. </w:t>
      </w:r>
      <w:hyperlink r:id="rId14" w:history="1">
        <w:r w:rsidRPr="007762F3">
          <w:rPr>
            <w:rStyle w:val="Hyperlink"/>
            <w:rFonts w:cs="Arial"/>
            <w:color w:val="auto"/>
            <w:sz w:val="20"/>
            <w:szCs w:val="20"/>
            <w:u w:val="none"/>
            <w:shd w:val="clear" w:color="auto" w:fill="FFFFFF"/>
          </w:rPr>
          <w:t>https://doi.org/10.51169/ideguru.v4i1.66</w:t>
        </w:r>
      </w:hyperlink>
    </w:p>
    <w:p w:rsidR="005A2EDA" w:rsidRPr="007762F3" w:rsidRDefault="00C252A2" w:rsidP="005A2EDA">
      <w:pPr>
        <w:ind w:left="567" w:hanging="425"/>
        <w:jc w:val="both"/>
        <w:rPr>
          <w:rFonts w:cs="Arial"/>
          <w:sz w:val="20"/>
          <w:szCs w:val="20"/>
          <w:shd w:val="clear" w:color="auto" w:fill="FFFFFF"/>
        </w:rPr>
      </w:pPr>
      <w:r w:rsidRPr="007762F3">
        <w:rPr>
          <w:rFonts w:cs="Arial"/>
          <w:sz w:val="20"/>
          <w:szCs w:val="20"/>
          <w:shd w:val="clear" w:color="auto" w:fill="FFFFFF"/>
        </w:rPr>
        <w:t xml:space="preserve">Hartatik, S. (2022). Improving Teacher Competence in </w:t>
      </w:r>
      <w:r w:rsidRPr="007762F3">
        <w:rPr>
          <w:rFonts w:cs="Arial"/>
          <w:sz w:val="20"/>
          <w:szCs w:val="20"/>
          <w:shd w:val="clear" w:color="auto" w:fill="FFFFFF"/>
        </w:rPr>
        <w:t xml:space="preserve">Implementing the Merdeka Curriculum (IKM) Through In-House Training (IHT) at SDN Tlekung 02 Batu City. </w:t>
      </w:r>
      <w:r w:rsidRPr="007762F3">
        <w:rPr>
          <w:rFonts w:cs="Arial"/>
          <w:i/>
          <w:iCs/>
          <w:sz w:val="20"/>
          <w:szCs w:val="20"/>
          <w:shd w:val="clear" w:color="auto" w:fill="FFFFFF"/>
        </w:rPr>
        <w:t xml:space="preserve">Journal of Education Taman Widya </w:t>
      </w:r>
      <w:proofErr w:type="spellStart"/>
      <w:r w:rsidRPr="007762F3">
        <w:rPr>
          <w:rFonts w:cs="Arial"/>
          <w:i/>
          <w:iCs/>
          <w:sz w:val="20"/>
          <w:szCs w:val="20"/>
          <w:shd w:val="clear" w:color="auto" w:fill="FFFFFF"/>
        </w:rPr>
        <w:t>Humaniora</w:t>
      </w:r>
      <w:proofErr w:type="spellEnd"/>
      <w:r w:rsidRPr="007762F3">
        <w:rPr>
          <w:rFonts w:cs="Arial"/>
          <w:i/>
          <w:iCs/>
          <w:sz w:val="20"/>
          <w:szCs w:val="20"/>
          <w:shd w:val="clear" w:color="auto" w:fill="FFFFFF"/>
        </w:rPr>
        <w:t xml:space="preserve"> (JPTWH)</w:t>
      </w:r>
      <w:r w:rsidRPr="007762F3">
        <w:rPr>
          <w:rFonts w:cs="Arial"/>
          <w:sz w:val="20"/>
          <w:szCs w:val="20"/>
          <w:shd w:val="clear" w:color="auto" w:fill="FFFFFF"/>
        </w:rPr>
        <w:t xml:space="preserve">, </w:t>
      </w:r>
      <w:r w:rsidRPr="007762F3">
        <w:rPr>
          <w:rFonts w:cs="Arial"/>
          <w:i/>
          <w:iCs/>
          <w:sz w:val="20"/>
          <w:szCs w:val="20"/>
          <w:shd w:val="clear" w:color="auto" w:fill="FFFFFF"/>
        </w:rPr>
        <w:t>1</w:t>
      </w:r>
      <w:r w:rsidRPr="007762F3">
        <w:rPr>
          <w:rFonts w:cs="Arial"/>
          <w:sz w:val="20"/>
          <w:szCs w:val="20"/>
          <w:shd w:val="clear" w:color="auto" w:fill="FFFFFF"/>
        </w:rPr>
        <w:t>(4), 318</w:t>
      </w:r>
      <w:r w:rsidR="005B6075" w:rsidRPr="007762F3">
        <w:rPr>
          <w:rFonts w:cs="Arial"/>
          <w:sz w:val="20"/>
          <w:szCs w:val="20"/>
          <w:shd w:val="clear" w:color="auto" w:fill="FFFFFF"/>
        </w:rPr>
        <w:t>–</w:t>
      </w:r>
      <w:r w:rsidRPr="007762F3">
        <w:rPr>
          <w:rFonts w:cs="Arial"/>
          <w:sz w:val="20"/>
          <w:szCs w:val="20"/>
          <w:shd w:val="clear" w:color="auto" w:fill="FFFFFF"/>
        </w:rPr>
        <w:t>339. https://jurnal.widyahumaniora.org/index.php/jptwh/article/view/86</w:t>
      </w:r>
    </w:p>
    <w:p w:rsidR="005A2EDA" w:rsidRPr="007762F3" w:rsidRDefault="00C252A2" w:rsidP="005A2EDA">
      <w:pPr>
        <w:ind w:left="567" w:hanging="425"/>
        <w:jc w:val="both"/>
        <w:rPr>
          <w:rFonts w:cs="Arial"/>
          <w:sz w:val="20"/>
          <w:szCs w:val="20"/>
          <w:shd w:val="clear" w:color="auto" w:fill="FFFFFF"/>
        </w:rPr>
      </w:pPr>
      <w:r w:rsidRPr="007762F3">
        <w:rPr>
          <w:rFonts w:cs="Arial"/>
          <w:sz w:val="20"/>
          <w:szCs w:val="20"/>
          <w:shd w:val="clear" w:color="auto" w:fill="FFFFFF"/>
        </w:rPr>
        <w:t>Jayadipura, Y. (2018</w:t>
      </w:r>
      <w:r w:rsidRPr="007762F3">
        <w:rPr>
          <w:rFonts w:cs="Arial"/>
          <w:sz w:val="20"/>
          <w:szCs w:val="20"/>
          <w:shd w:val="clear" w:color="auto" w:fill="FFFFFF"/>
        </w:rPr>
        <w:t xml:space="preserve">). In-house training to improve teachers' ability to develop lesson plans. </w:t>
      </w:r>
      <w:r w:rsidRPr="007762F3">
        <w:rPr>
          <w:rFonts w:cs="Arial"/>
          <w:i/>
          <w:iCs/>
          <w:sz w:val="20"/>
          <w:szCs w:val="20"/>
          <w:shd w:val="clear" w:color="auto" w:fill="FFFFFF"/>
        </w:rPr>
        <w:t>Idaarah: Journal of Education Management</w:t>
      </w:r>
      <w:r w:rsidRPr="007762F3">
        <w:rPr>
          <w:rFonts w:cs="Arial"/>
          <w:sz w:val="20"/>
          <w:szCs w:val="20"/>
          <w:shd w:val="clear" w:color="auto" w:fill="FFFFFF"/>
        </w:rPr>
        <w:t xml:space="preserve">, </w:t>
      </w:r>
      <w:r w:rsidRPr="007762F3">
        <w:rPr>
          <w:rFonts w:cs="Arial"/>
          <w:i/>
          <w:iCs/>
          <w:sz w:val="20"/>
          <w:szCs w:val="20"/>
          <w:shd w:val="clear" w:color="auto" w:fill="FFFFFF"/>
        </w:rPr>
        <w:t>2</w:t>
      </w:r>
      <w:r w:rsidR="005B6075">
        <w:rPr>
          <w:rFonts w:cs="Arial"/>
          <w:sz w:val="20"/>
          <w:szCs w:val="20"/>
          <w:shd w:val="clear" w:color="auto" w:fill="FFFFFF"/>
        </w:rPr>
        <w:t>(2), 260</w:t>
      </w:r>
      <w:r w:rsidR="005B6075" w:rsidRPr="007762F3">
        <w:rPr>
          <w:rFonts w:cs="Arial"/>
          <w:sz w:val="20"/>
          <w:szCs w:val="20"/>
          <w:shd w:val="clear" w:color="auto" w:fill="FFFFFF"/>
        </w:rPr>
        <w:t>–</w:t>
      </w:r>
      <w:r w:rsidRPr="007762F3">
        <w:rPr>
          <w:rFonts w:cs="Arial"/>
          <w:sz w:val="20"/>
          <w:szCs w:val="20"/>
          <w:shd w:val="clear" w:color="auto" w:fill="FFFFFF"/>
        </w:rPr>
        <w:t xml:space="preserve">268. </w:t>
      </w:r>
      <w:hyperlink r:id="rId15" w:history="1">
        <w:r w:rsidRPr="007762F3">
          <w:rPr>
            <w:rStyle w:val="Hyperlink"/>
            <w:rFonts w:cs="Arial"/>
            <w:color w:val="auto"/>
            <w:sz w:val="20"/>
            <w:szCs w:val="20"/>
            <w:u w:val="none"/>
            <w:shd w:val="clear" w:color="auto" w:fill="FFFFFF"/>
          </w:rPr>
          <w:t>https://doi.org/10.24252/idaarah.v2i2.6808</w:t>
        </w:r>
      </w:hyperlink>
    </w:p>
    <w:p w:rsidR="005A2EDA" w:rsidRPr="007762F3" w:rsidRDefault="00C252A2" w:rsidP="005A2EDA">
      <w:pPr>
        <w:pStyle w:val="NormalWeb"/>
        <w:spacing w:before="0" w:beforeAutospacing="0" w:after="0" w:afterAutospacing="0"/>
        <w:ind w:left="567" w:hanging="425"/>
        <w:jc w:val="both"/>
        <w:rPr>
          <w:rFonts w:ascii="Palatino Linotype" w:hAnsi="Palatino Linotype"/>
          <w:sz w:val="20"/>
          <w:szCs w:val="20"/>
        </w:rPr>
      </w:pPr>
      <w:r w:rsidRPr="007762F3">
        <w:rPr>
          <w:rStyle w:val="Strong"/>
          <w:rFonts w:ascii="Palatino Linotype" w:hAnsi="Palatino Linotype"/>
          <w:b w:val="0"/>
          <w:sz w:val="20"/>
          <w:szCs w:val="20"/>
        </w:rPr>
        <w:t xml:space="preserve">Ministry of Education </w:t>
      </w:r>
      <w:r w:rsidRPr="007762F3">
        <w:rPr>
          <w:rStyle w:val="Strong"/>
          <w:rFonts w:ascii="Palatino Linotype" w:hAnsi="Palatino Linotype"/>
          <w:b w:val="0"/>
          <w:sz w:val="20"/>
          <w:szCs w:val="20"/>
        </w:rPr>
        <w:t>and Culture</w:t>
      </w:r>
      <w:r w:rsidRPr="007762F3">
        <w:rPr>
          <w:rStyle w:val="Strong"/>
          <w:rFonts w:ascii="Palatino Linotype" w:hAnsi="Palatino Linotype"/>
          <w:sz w:val="20"/>
          <w:szCs w:val="20"/>
        </w:rPr>
        <w:t>.</w:t>
      </w:r>
      <w:r w:rsidRPr="007762F3">
        <w:rPr>
          <w:rFonts w:ascii="Palatino Linotype" w:hAnsi="Palatino Linotype"/>
          <w:sz w:val="20"/>
          <w:szCs w:val="20"/>
        </w:rPr>
        <w:t xml:space="preserve"> (2022). </w:t>
      </w:r>
      <w:r w:rsidRPr="007762F3">
        <w:rPr>
          <w:rStyle w:val="Emphasis"/>
          <w:rFonts w:ascii="Palatino Linotype" w:hAnsi="Palatino Linotype"/>
          <w:sz w:val="20"/>
          <w:szCs w:val="20"/>
        </w:rPr>
        <w:t>Independent Curriculum: Guidelines for Implementing Flexible and Character-Based Education</w:t>
      </w:r>
      <w:r w:rsidRPr="007762F3">
        <w:rPr>
          <w:rFonts w:ascii="Palatino Linotype" w:hAnsi="Palatino Linotype"/>
          <w:sz w:val="20"/>
          <w:szCs w:val="20"/>
        </w:rPr>
        <w:t>. Jakarta: Ministry of Education and Culture.</w:t>
      </w:r>
    </w:p>
    <w:p w:rsidR="005A2EDA" w:rsidRPr="007762F3" w:rsidRDefault="00C252A2" w:rsidP="005A2EDA">
      <w:pPr>
        <w:pStyle w:val="NormalWeb"/>
        <w:spacing w:before="0" w:beforeAutospacing="0" w:after="0" w:afterAutospacing="0"/>
        <w:ind w:left="567" w:hanging="425"/>
        <w:jc w:val="both"/>
        <w:rPr>
          <w:rFonts w:ascii="Palatino Linotype" w:hAnsi="Palatino Linotype" w:cs="Arial"/>
          <w:sz w:val="20"/>
          <w:szCs w:val="20"/>
          <w:shd w:val="clear" w:color="auto" w:fill="FFFFFF"/>
        </w:rPr>
      </w:pPr>
      <w:r w:rsidRPr="007762F3">
        <w:rPr>
          <w:rFonts w:ascii="Palatino Linotype" w:hAnsi="Palatino Linotype" w:cs="Arial"/>
          <w:sz w:val="20"/>
          <w:szCs w:val="20"/>
          <w:shd w:val="clear" w:color="auto" w:fill="FFFFFF"/>
        </w:rPr>
        <w:t xml:space="preserve">Kamiludin, J. (2021). Implementation of in-house training (IHT) to improve teachers' ability to </w:t>
      </w:r>
      <w:r w:rsidRPr="007762F3">
        <w:rPr>
          <w:rFonts w:ascii="Palatino Linotype" w:hAnsi="Palatino Linotype" w:cs="Arial"/>
          <w:sz w:val="20"/>
          <w:szCs w:val="20"/>
          <w:shd w:val="clear" w:color="auto" w:fill="FFFFFF"/>
        </w:rPr>
        <w:t xml:space="preserve">develop lesson plans. </w:t>
      </w:r>
      <w:r w:rsidRPr="007762F3">
        <w:rPr>
          <w:rFonts w:ascii="Palatino Linotype" w:hAnsi="Palatino Linotype" w:cs="Arial"/>
          <w:i/>
          <w:iCs/>
          <w:sz w:val="20"/>
          <w:szCs w:val="20"/>
          <w:shd w:val="clear" w:color="auto" w:fill="FFFFFF"/>
        </w:rPr>
        <w:t xml:space="preserve">Journal of </w:t>
      </w:r>
      <w:proofErr w:type="spellStart"/>
      <w:r w:rsidRPr="007762F3">
        <w:rPr>
          <w:rFonts w:ascii="Palatino Linotype" w:hAnsi="Palatino Linotype" w:cs="Arial"/>
          <w:i/>
          <w:iCs/>
          <w:sz w:val="20"/>
          <w:szCs w:val="20"/>
          <w:shd w:val="clear" w:color="auto" w:fill="FFFFFF"/>
        </w:rPr>
        <w:t>Pedagogiana</w:t>
      </w:r>
      <w:proofErr w:type="spellEnd"/>
      <w:r w:rsidRPr="007762F3">
        <w:rPr>
          <w:rFonts w:ascii="Palatino Linotype" w:hAnsi="Palatino Linotype" w:cs="Arial"/>
          <w:sz w:val="20"/>
          <w:szCs w:val="20"/>
          <w:shd w:val="clear" w:color="auto" w:fill="FFFFFF"/>
        </w:rPr>
        <w:t xml:space="preserve">, </w:t>
      </w:r>
      <w:r w:rsidRPr="007762F3">
        <w:rPr>
          <w:rFonts w:ascii="Palatino Linotype" w:hAnsi="Palatino Linotype" w:cs="Arial"/>
          <w:i/>
          <w:iCs/>
          <w:sz w:val="20"/>
          <w:szCs w:val="20"/>
          <w:shd w:val="clear" w:color="auto" w:fill="FFFFFF"/>
        </w:rPr>
        <w:t>8</w:t>
      </w:r>
      <w:r w:rsidR="005B6075">
        <w:rPr>
          <w:rFonts w:ascii="Palatino Linotype" w:hAnsi="Palatino Linotype" w:cs="Arial"/>
          <w:sz w:val="20"/>
          <w:szCs w:val="20"/>
          <w:shd w:val="clear" w:color="auto" w:fill="FFFFFF"/>
        </w:rPr>
        <w:t>(49), 1</w:t>
      </w:r>
      <w:r w:rsidR="005B6075" w:rsidRPr="007762F3">
        <w:rPr>
          <w:rFonts w:cs="Arial"/>
          <w:sz w:val="20"/>
          <w:szCs w:val="20"/>
          <w:shd w:val="clear" w:color="auto" w:fill="FFFFFF"/>
        </w:rPr>
        <w:t>–</w:t>
      </w:r>
      <w:r w:rsidRPr="007762F3">
        <w:rPr>
          <w:rFonts w:ascii="Palatino Linotype" w:hAnsi="Palatino Linotype" w:cs="Arial"/>
          <w:sz w:val="20"/>
          <w:szCs w:val="20"/>
          <w:shd w:val="clear" w:color="auto" w:fill="FFFFFF"/>
        </w:rPr>
        <w:t xml:space="preserve">12. </w:t>
      </w:r>
      <w:hyperlink r:id="rId16" w:history="1">
        <w:r w:rsidRPr="007762F3">
          <w:rPr>
            <w:rStyle w:val="Hyperlink"/>
            <w:rFonts w:ascii="Palatino Linotype" w:hAnsi="Palatino Linotype" w:cs="Arial"/>
            <w:color w:val="auto"/>
            <w:sz w:val="20"/>
            <w:szCs w:val="20"/>
            <w:u w:val="none"/>
            <w:shd w:val="clear" w:color="auto" w:fill="FFFFFF"/>
          </w:rPr>
          <w:t>https://doi.org/10.24252/idaarah.v2i2.6808</w:t>
        </w:r>
      </w:hyperlink>
    </w:p>
    <w:p w:rsidR="005A2EDA" w:rsidRPr="007762F3" w:rsidRDefault="00C252A2" w:rsidP="005A2EDA">
      <w:pPr>
        <w:pStyle w:val="NormalWeb"/>
        <w:spacing w:before="0" w:beforeAutospacing="0" w:after="0" w:afterAutospacing="0"/>
        <w:ind w:left="567" w:hanging="425"/>
        <w:jc w:val="both"/>
        <w:rPr>
          <w:rFonts w:ascii="Palatino Linotype" w:hAnsi="Palatino Linotype" w:cs="Arial"/>
          <w:sz w:val="20"/>
          <w:szCs w:val="20"/>
          <w:shd w:val="clear" w:color="auto" w:fill="FFFFFF"/>
        </w:rPr>
      </w:pPr>
      <w:r w:rsidRPr="007762F3">
        <w:rPr>
          <w:rFonts w:ascii="Palatino Linotype" w:hAnsi="Palatino Linotype" w:cs="Arial"/>
          <w:sz w:val="20"/>
          <w:szCs w:val="20"/>
          <w:shd w:val="clear" w:color="auto" w:fill="FFFFFF"/>
        </w:rPr>
        <w:t>Khaerani, N. C. (2016). Improving Teacher Competence in Developing Lesson Plans through IHT (in</w:t>
      </w:r>
      <w:r w:rsidRPr="007762F3">
        <w:rPr>
          <w:rFonts w:ascii="Palatino Linotype" w:hAnsi="Palatino Linotype" w:cs="Arial"/>
          <w:sz w:val="20"/>
          <w:szCs w:val="20"/>
          <w:shd w:val="clear" w:color="auto" w:fill="FFFFFF"/>
        </w:rPr>
        <w:t xml:space="preserve">-house training) Activities. </w:t>
      </w:r>
      <w:r w:rsidRPr="007762F3">
        <w:rPr>
          <w:rFonts w:ascii="Palatino Linotype" w:hAnsi="Palatino Linotype" w:cs="Arial"/>
          <w:i/>
          <w:iCs/>
          <w:sz w:val="20"/>
          <w:szCs w:val="20"/>
          <w:shd w:val="clear" w:color="auto" w:fill="FFFFFF"/>
        </w:rPr>
        <w:t>Didacticum</w:t>
      </w:r>
      <w:r w:rsidRPr="007762F3">
        <w:rPr>
          <w:rFonts w:ascii="Palatino Linotype" w:hAnsi="Palatino Linotype" w:cs="Arial"/>
          <w:sz w:val="20"/>
          <w:szCs w:val="20"/>
          <w:shd w:val="clear" w:color="auto" w:fill="FFFFFF"/>
        </w:rPr>
        <w:t xml:space="preserve">, </w:t>
      </w:r>
      <w:r w:rsidRPr="007762F3">
        <w:rPr>
          <w:rFonts w:ascii="Palatino Linotype" w:hAnsi="Palatino Linotype" w:cs="Arial"/>
          <w:i/>
          <w:iCs/>
          <w:sz w:val="20"/>
          <w:szCs w:val="20"/>
          <w:shd w:val="clear" w:color="auto" w:fill="FFFFFF"/>
        </w:rPr>
        <w:t>17</w:t>
      </w:r>
      <w:r w:rsidR="005B6075">
        <w:rPr>
          <w:rFonts w:ascii="Palatino Linotype" w:hAnsi="Palatino Linotype" w:cs="Arial"/>
          <w:sz w:val="20"/>
          <w:szCs w:val="20"/>
          <w:shd w:val="clear" w:color="auto" w:fill="FFFFFF"/>
        </w:rPr>
        <w:t>(1). 64</w:t>
      </w:r>
      <w:r w:rsidR="005B6075" w:rsidRPr="007762F3">
        <w:rPr>
          <w:rFonts w:cs="Arial"/>
          <w:sz w:val="20"/>
          <w:szCs w:val="20"/>
          <w:shd w:val="clear" w:color="auto" w:fill="FFFFFF"/>
        </w:rPr>
        <w:t>–</w:t>
      </w:r>
      <w:r w:rsidRPr="007762F3">
        <w:rPr>
          <w:rFonts w:ascii="Palatino Linotype" w:hAnsi="Palatino Linotype" w:cs="Arial"/>
          <w:sz w:val="20"/>
          <w:szCs w:val="20"/>
          <w:shd w:val="clear" w:color="auto" w:fill="FFFFFF"/>
        </w:rPr>
        <w:t>70</w:t>
      </w:r>
      <w:r w:rsidR="005B6075">
        <w:rPr>
          <w:rFonts w:ascii="Palatino Linotype" w:hAnsi="Palatino Linotype" w:cs="Arial"/>
          <w:sz w:val="20"/>
          <w:szCs w:val="20"/>
          <w:shd w:val="clear" w:color="auto" w:fill="FFFFFF"/>
        </w:rPr>
        <w:t xml:space="preserve">. </w:t>
      </w:r>
      <w:r w:rsidRPr="007762F3">
        <w:rPr>
          <w:rFonts w:ascii="Palatino Linotype" w:hAnsi="Palatino Linotype" w:cs="Arial"/>
          <w:sz w:val="20"/>
          <w:szCs w:val="20"/>
          <w:shd w:val="clear" w:color="auto" w:fill="FFFFFF"/>
        </w:rPr>
        <w:t>https://www.i-rpp.com/index.php/didaktikum/article/view/398</w:t>
      </w:r>
    </w:p>
    <w:p w:rsidR="005A2EDA" w:rsidRPr="007762F3" w:rsidRDefault="00C252A2" w:rsidP="005A2EDA">
      <w:pPr>
        <w:ind w:left="567" w:hanging="425"/>
        <w:jc w:val="both"/>
        <w:rPr>
          <w:rFonts w:cs="Arial"/>
          <w:sz w:val="20"/>
          <w:szCs w:val="20"/>
          <w:shd w:val="clear" w:color="auto" w:fill="FFFFFF"/>
        </w:rPr>
      </w:pPr>
      <w:r w:rsidRPr="007762F3">
        <w:rPr>
          <w:rFonts w:cs="Arial"/>
          <w:sz w:val="20"/>
          <w:szCs w:val="20"/>
          <w:shd w:val="clear" w:color="auto" w:fill="FFFFFF"/>
        </w:rPr>
        <w:t xml:space="preserve">Mahmudin, A. S. (2021). Development of teaching materials for Islamic religious education subjects by primary school-level teachers. </w:t>
      </w:r>
      <w:r w:rsidRPr="007762F3">
        <w:rPr>
          <w:rFonts w:cs="Arial"/>
          <w:i/>
          <w:iCs/>
          <w:sz w:val="20"/>
          <w:szCs w:val="20"/>
          <w:shd w:val="clear" w:color="auto" w:fill="FFFFFF"/>
        </w:rPr>
        <w:t>SITTAH: Jo</w:t>
      </w:r>
      <w:r w:rsidRPr="007762F3">
        <w:rPr>
          <w:rFonts w:cs="Arial"/>
          <w:i/>
          <w:iCs/>
          <w:sz w:val="20"/>
          <w:szCs w:val="20"/>
          <w:shd w:val="clear" w:color="auto" w:fill="FFFFFF"/>
        </w:rPr>
        <w:t>urnal of Primary Education</w:t>
      </w:r>
      <w:r w:rsidRPr="007762F3">
        <w:rPr>
          <w:rFonts w:cs="Arial"/>
          <w:sz w:val="20"/>
          <w:szCs w:val="20"/>
          <w:shd w:val="clear" w:color="auto" w:fill="FFFFFF"/>
        </w:rPr>
        <w:t xml:space="preserve">, </w:t>
      </w:r>
      <w:r w:rsidRPr="007762F3">
        <w:rPr>
          <w:rFonts w:cs="Arial"/>
          <w:i/>
          <w:iCs/>
          <w:sz w:val="20"/>
          <w:szCs w:val="20"/>
          <w:shd w:val="clear" w:color="auto" w:fill="FFFFFF"/>
        </w:rPr>
        <w:t>2</w:t>
      </w:r>
      <w:r w:rsidRPr="007762F3">
        <w:rPr>
          <w:rFonts w:cs="Arial"/>
          <w:sz w:val="20"/>
          <w:szCs w:val="20"/>
          <w:shd w:val="clear" w:color="auto" w:fill="FFFFFF"/>
        </w:rPr>
        <w:t>(2), 95</w:t>
      </w:r>
      <w:r w:rsidR="005B6075" w:rsidRPr="007762F3">
        <w:rPr>
          <w:rFonts w:cs="Arial"/>
          <w:sz w:val="20"/>
          <w:szCs w:val="20"/>
          <w:shd w:val="clear" w:color="auto" w:fill="FFFFFF"/>
        </w:rPr>
        <w:t>–</w:t>
      </w:r>
      <w:r w:rsidRPr="007762F3">
        <w:rPr>
          <w:rFonts w:cs="Arial"/>
          <w:sz w:val="20"/>
          <w:szCs w:val="20"/>
          <w:shd w:val="clear" w:color="auto" w:fill="FFFFFF"/>
        </w:rPr>
        <w:t xml:space="preserve">106. </w:t>
      </w:r>
      <w:hyperlink r:id="rId17" w:history="1">
        <w:r w:rsidRPr="007762F3">
          <w:rPr>
            <w:rStyle w:val="Hyperlink"/>
            <w:rFonts w:cs="Arial"/>
            <w:color w:val="auto"/>
            <w:sz w:val="20"/>
            <w:szCs w:val="20"/>
            <w:u w:val="none"/>
            <w:shd w:val="clear" w:color="auto" w:fill="FFFFFF"/>
          </w:rPr>
          <w:t>https://doi.org/10.30762/sittah.v2i2.3396</w:t>
        </w:r>
      </w:hyperlink>
    </w:p>
    <w:p w:rsidR="005A2EDA" w:rsidRPr="007762F3" w:rsidRDefault="00C252A2" w:rsidP="005A2EDA">
      <w:pPr>
        <w:ind w:left="567" w:hanging="425"/>
        <w:jc w:val="both"/>
        <w:rPr>
          <w:rFonts w:cs="Arial"/>
          <w:sz w:val="20"/>
          <w:szCs w:val="20"/>
          <w:shd w:val="clear" w:color="auto" w:fill="FFFFFF"/>
        </w:rPr>
      </w:pPr>
      <w:r w:rsidRPr="007762F3">
        <w:rPr>
          <w:rFonts w:cs="Arial"/>
          <w:sz w:val="20"/>
          <w:szCs w:val="20"/>
          <w:shd w:val="clear" w:color="auto" w:fill="FFFFFF"/>
        </w:rPr>
        <w:t xml:space="preserve">Mahanani, S. (2023). Improving Teachers' Competence in Developing Teaching Modules at Mover Schools through </w:t>
      </w:r>
      <w:r w:rsidRPr="007762F3">
        <w:rPr>
          <w:rFonts w:cs="Arial"/>
          <w:sz w:val="20"/>
          <w:szCs w:val="20"/>
          <w:shd w:val="clear" w:color="auto" w:fill="FFFFFF"/>
        </w:rPr>
        <w:t xml:space="preserve">Mentoring at SD Negeri 3 Kalanglundo. </w:t>
      </w:r>
      <w:r w:rsidRPr="007762F3">
        <w:rPr>
          <w:rFonts w:cs="Arial"/>
          <w:i/>
          <w:iCs/>
          <w:sz w:val="20"/>
          <w:szCs w:val="20"/>
          <w:shd w:val="clear" w:color="auto" w:fill="FFFFFF"/>
        </w:rPr>
        <w:t xml:space="preserve">Sentra </w:t>
      </w:r>
      <w:proofErr w:type="spellStart"/>
      <w:r w:rsidRPr="007762F3">
        <w:rPr>
          <w:rFonts w:cs="Arial"/>
          <w:i/>
          <w:iCs/>
          <w:sz w:val="20"/>
          <w:szCs w:val="20"/>
          <w:shd w:val="clear" w:color="auto" w:fill="FFFFFF"/>
        </w:rPr>
        <w:t>Cendekia</w:t>
      </w:r>
      <w:proofErr w:type="spellEnd"/>
      <w:r w:rsidRPr="007762F3">
        <w:rPr>
          <w:rFonts w:cs="Arial"/>
          <w:sz w:val="20"/>
          <w:szCs w:val="20"/>
          <w:shd w:val="clear" w:color="auto" w:fill="FFFFFF"/>
        </w:rPr>
        <w:t xml:space="preserve">, </w:t>
      </w:r>
      <w:r w:rsidRPr="007762F3">
        <w:rPr>
          <w:rFonts w:cs="Arial"/>
          <w:i/>
          <w:iCs/>
          <w:sz w:val="20"/>
          <w:szCs w:val="20"/>
          <w:shd w:val="clear" w:color="auto" w:fill="FFFFFF"/>
        </w:rPr>
        <w:t>4</w:t>
      </w:r>
      <w:r w:rsidRPr="007762F3">
        <w:rPr>
          <w:rFonts w:cs="Arial"/>
          <w:sz w:val="20"/>
          <w:szCs w:val="20"/>
          <w:shd w:val="clear" w:color="auto" w:fill="FFFFFF"/>
        </w:rPr>
        <w:t>(1), 15</w:t>
      </w:r>
      <w:r w:rsidR="005B6075" w:rsidRPr="007762F3">
        <w:rPr>
          <w:rFonts w:cs="Arial"/>
          <w:sz w:val="20"/>
          <w:szCs w:val="20"/>
          <w:shd w:val="clear" w:color="auto" w:fill="FFFFFF"/>
        </w:rPr>
        <w:t>–</w:t>
      </w:r>
      <w:r w:rsidRPr="007762F3">
        <w:rPr>
          <w:rFonts w:cs="Arial"/>
          <w:sz w:val="20"/>
          <w:szCs w:val="20"/>
          <w:shd w:val="clear" w:color="auto" w:fill="FFFFFF"/>
        </w:rPr>
        <w:t>23. https://doi.org/10.31331/sencenivet.v4i1.2505</w:t>
      </w:r>
    </w:p>
    <w:p w:rsidR="005A2EDA" w:rsidRPr="007762F3" w:rsidRDefault="00C252A2" w:rsidP="005A2EDA">
      <w:pPr>
        <w:ind w:left="567" w:hanging="425"/>
        <w:jc w:val="both"/>
        <w:rPr>
          <w:rFonts w:cs="Arial"/>
          <w:sz w:val="20"/>
          <w:szCs w:val="20"/>
          <w:shd w:val="clear" w:color="auto" w:fill="FFFFFF"/>
        </w:rPr>
      </w:pPr>
      <w:r w:rsidRPr="007762F3">
        <w:rPr>
          <w:rFonts w:cs="Arial"/>
          <w:sz w:val="20"/>
          <w:szCs w:val="20"/>
          <w:shd w:val="clear" w:color="auto" w:fill="FFFFFF"/>
        </w:rPr>
        <w:t xml:space="preserve">Maolana, A. D. (2018). Improving teacher competence in preparing lesson plans through in-house training. </w:t>
      </w:r>
      <w:r w:rsidRPr="007762F3">
        <w:rPr>
          <w:rFonts w:cs="Arial"/>
          <w:i/>
          <w:iCs/>
          <w:sz w:val="20"/>
          <w:szCs w:val="20"/>
          <w:shd w:val="clear" w:color="auto" w:fill="FFFFFF"/>
        </w:rPr>
        <w:t>Tambusai Education Journal</w:t>
      </w:r>
      <w:r w:rsidRPr="007762F3">
        <w:rPr>
          <w:rFonts w:cs="Arial"/>
          <w:sz w:val="20"/>
          <w:szCs w:val="20"/>
          <w:shd w:val="clear" w:color="auto" w:fill="FFFFFF"/>
        </w:rPr>
        <w:t xml:space="preserve">, </w:t>
      </w:r>
      <w:r w:rsidRPr="007762F3">
        <w:rPr>
          <w:rFonts w:cs="Arial"/>
          <w:i/>
          <w:iCs/>
          <w:sz w:val="20"/>
          <w:szCs w:val="20"/>
          <w:shd w:val="clear" w:color="auto" w:fill="FFFFFF"/>
        </w:rPr>
        <w:t>2</w:t>
      </w:r>
      <w:r w:rsidRPr="007762F3">
        <w:rPr>
          <w:rFonts w:cs="Arial"/>
          <w:sz w:val="20"/>
          <w:szCs w:val="20"/>
          <w:shd w:val="clear" w:color="auto" w:fill="FFFFFF"/>
        </w:rPr>
        <w:t>(3), 953</w:t>
      </w:r>
      <w:r w:rsidR="005B6075" w:rsidRPr="007762F3">
        <w:rPr>
          <w:rFonts w:cs="Arial"/>
          <w:sz w:val="20"/>
          <w:szCs w:val="20"/>
          <w:shd w:val="clear" w:color="auto" w:fill="FFFFFF"/>
        </w:rPr>
        <w:t>–</w:t>
      </w:r>
      <w:r w:rsidRPr="007762F3">
        <w:rPr>
          <w:rFonts w:cs="Arial"/>
          <w:sz w:val="20"/>
          <w:szCs w:val="20"/>
          <w:shd w:val="clear" w:color="auto" w:fill="FFFFFF"/>
        </w:rPr>
        <w:t xml:space="preserve">969. </w:t>
      </w:r>
      <w:hyperlink r:id="rId18" w:history="1">
        <w:r w:rsidRPr="007762F3">
          <w:rPr>
            <w:rStyle w:val="Hyperlink"/>
            <w:rFonts w:cs="Arial"/>
            <w:color w:val="auto"/>
            <w:sz w:val="20"/>
            <w:szCs w:val="20"/>
            <w:u w:val="none"/>
            <w:shd w:val="clear" w:color="auto" w:fill="FFFFFF"/>
          </w:rPr>
          <w:t>https://doi.org/10.31004/jptam.v2i5.74</w:t>
        </w:r>
      </w:hyperlink>
    </w:p>
    <w:p w:rsidR="005A2EDA" w:rsidRPr="007762F3" w:rsidRDefault="00C252A2" w:rsidP="005A2EDA">
      <w:pPr>
        <w:ind w:left="567" w:hanging="425"/>
        <w:jc w:val="both"/>
        <w:rPr>
          <w:rFonts w:cs="Arial"/>
          <w:sz w:val="20"/>
          <w:szCs w:val="20"/>
          <w:shd w:val="clear" w:color="auto" w:fill="FFFFFF"/>
        </w:rPr>
      </w:pPr>
      <w:proofErr w:type="spellStart"/>
      <w:r w:rsidRPr="007762F3">
        <w:rPr>
          <w:rFonts w:cs="Arial"/>
          <w:sz w:val="20"/>
          <w:szCs w:val="20"/>
          <w:shd w:val="clear" w:color="auto" w:fill="FFFFFF"/>
        </w:rPr>
        <w:t>Nuruningsih</w:t>
      </w:r>
      <w:proofErr w:type="spellEnd"/>
      <w:r w:rsidRPr="007762F3">
        <w:rPr>
          <w:rFonts w:cs="Arial"/>
          <w:sz w:val="20"/>
          <w:szCs w:val="20"/>
          <w:shd w:val="clear" w:color="auto" w:fill="FFFFFF"/>
        </w:rPr>
        <w:t>, S., &amp; Palupi, R. E. A</w:t>
      </w:r>
      <w:r w:rsidRPr="007762F3">
        <w:rPr>
          <w:rFonts w:cs="Arial"/>
          <w:sz w:val="20"/>
          <w:szCs w:val="20"/>
          <w:shd w:val="clear" w:color="auto" w:fill="FFFFFF"/>
        </w:rPr>
        <w:t xml:space="preserve">. (2021). Improving Teacher Competence in Preparing Learning Implementation Plans (RPP) using the Focus Group Discussion Method in In-House Training (IHT) Activities for Teachers at SDN Pondok 03. </w:t>
      </w:r>
      <w:r w:rsidRPr="007762F3">
        <w:rPr>
          <w:rFonts w:cs="Arial"/>
          <w:i/>
          <w:iCs/>
          <w:sz w:val="20"/>
          <w:szCs w:val="20"/>
          <w:shd w:val="clear" w:color="auto" w:fill="FFFFFF"/>
        </w:rPr>
        <w:t>Journal of Education and Learning Dimensions</w:t>
      </w:r>
      <w:r w:rsidRPr="007762F3">
        <w:rPr>
          <w:rFonts w:cs="Arial"/>
          <w:sz w:val="20"/>
          <w:szCs w:val="20"/>
          <w:shd w:val="clear" w:color="auto" w:fill="FFFFFF"/>
        </w:rPr>
        <w:t xml:space="preserve">, </w:t>
      </w:r>
      <w:r w:rsidRPr="007762F3">
        <w:rPr>
          <w:rFonts w:cs="Arial"/>
          <w:i/>
          <w:iCs/>
          <w:sz w:val="20"/>
          <w:szCs w:val="20"/>
          <w:shd w:val="clear" w:color="auto" w:fill="FFFFFF"/>
        </w:rPr>
        <w:t>9</w:t>
      </w:r>
      <w:r w:rsidR="005B6075">
        <w:rPr>
          <w:rFonts w:cs="Arial"/>
          <w:sz w:val="20"/>
          <w:szCs w:val="20"/>
          <w:shd w:val="clear" w:color="auto" w:fill="FFFFFF"/>
        </w:rPr>
        <w:t>(1), 51</w:t>
      </w:r>
      <w:r w:rsidR="005B6075" w:rsidRPr="007762F3">
        <w:rPr>
          <w:rFonts w:cs="Arial"/>
          <w:sz w:val="20"/>
          <w:szCs w:val="20"/>
          <w:shd w:val="clear" w:color="auto" w:fill="FFFFFF"/>
        </w:rPr>
        <w:t>–</w:t>
      </w:r>
      <w:r w:rsidRPr="007762F3">
        <w:rPr>
          <w:rFonts w:cs="Arial"/>
          <w:sz w:val="20"/>
          <w:szCs w:val="20"/>
          <w:shd w:val="clear" w:color="auto" w:fill="FFFFFF"/>
        </w:rPr>
        <w:t xml:space="preserve">57. </w:t>
      </w:r>
      <w:hyperlink r:id="rId19" w:history="1">
        <w:r w:rsidRPr="007762F3">
          <w:rPr>
            <w:rStyle w:val="Hyperlink"/>
            <w:rFonts w:cs="Arial"/>
            <w:color w:val="auto"/>
            <w:sz w:val="20"/>
            <w:szCs w:val="20"/>
            <w:u w:val="none"/>
            <w:shd w:val="clear" w:color="auto" w:fill="FFFFFF"/>
          </w:rPr>
          <w:t>http://dx.doi.org/10.24269/dpp.v9i1.3470</w:t>
        </w:r>
      </w:hyperlink>
    </w:p>
    <w:p w:rsidR="005A2EDA" w:rsidRPr="007762F3" w:rsidRDefault="00C252A2" w:rsidP="005A2EDA">
      <w:pPr>
        <w:ind w:left="567" w:hanging="425"/>
        <w:jc w:val="both"/>
        <w:rPr>
          <w:rFonts w:cs="Arial"/>
          <w:sz w:val="20"/>
          <w:szCs w:val="20"/>
          <w:shd w:val="clear" w:color="auto" w:fill="FFFFFF"/>
        </w:rPr>
      </w:pPr>
      <w:r w:rsidRPr="007762F3">
        <w:rPr>
          <w:rFonts w:cs="Arial"/>
          <w:sz w:val="20"/>
          <w:szCs w:val="20"/>
          <w:shd w:val="clear" w:color="auto" w:fill="FFFFFF"/>
        </w:rPr>
        <w:t>Pangestuti, T. (2022). Implementation of the Pancasila Student Profile Strengthening Project to Improve Teacher Competence through In-House Training at SDN Si</w:t>
      </w:r>
      <w:r w:rsidRPr="007762F3">
        <w:rPr>
          <w:rFonts w:cs="Arial"/>
          <w:sz w:val="20"/>
          <w:szCs w:val="20"/>
          <w:shd w:val="clear" w:color="auto" w:fill="FFFFFF"/>
        </w:rPr>
        <w:t xml:space="preserve">sir 06 Batu. </w:t>
      </w:r>
      <w:r w:rsidRPr="007762F3">
        <w:rPr>
          <w:rFonts w:cs="Arial"/>
          <w:i/>
          <w:iCs/>
          <w:sz w:val="20"/>
          <w:szCs w:val="20"/>
          <w:shd w:val="clear" w:color="auto" w:fill="FFFFFF"/>
        </w:rPr>
        <w:t xml:space="preserve">Journal of Education Taman Widya </w:t>
      </w:r>
      <w:proofErr w:type="spellStart"/>
      <w:r w:rsidRPr="007762F3">
        <w:rPr>
          <w:rFonts w:cs="Arial"/>
          <w:i/>
          <w:iCs/>
          <w:sz w:val="20"/>
          <w:szCs w:val="20"/>
          <w:shd w:val="clear" w:color="auto" w:fill="FFFFFF"/>
        </w:rPr>
        <w:t>Humaniora</w:t>
      </w:r>
      <w:proofErr w:type="spellEnd"/>
      <w:r w:rsidRPr="007762F3">
        <w:rPr>
          <w:rFonts w:cs="Arial"/>
          <w:i/>
          <w:iCs/>
          <w:sz w:val="20"/>
          <w:szCs w:val="20"/>
          <w:shd w:val="clear" w:color="auto" w:fill="FFFFFF"/>
        </w:rPr>
        <w:t xml:space="preserve"> (JPTWH)</w:t>
      </w:r>
      <w:r w:rsidRPr="007762F3">
        <w:rPr>
          <w:rFonts w:cs="Arial"/>
          <w:sz w:val="20"/>
          <w:szCs w:val="20"/>
          <w:shd w:val="clear" w:color="auto" w:fill="FFFFFF"/>
        </w:rPr>
        <w:t xml:space="preserve">, </w:t>
      </w:r>
      <w:r w:rsidRPr="007762F3">
        <w:rPr>
          <w:rFonts w:cs="Arial"/>
          <w:i/>
          <w:iCs/>
          <w:sz w:val="20"/>
          <w:szCs w:val="20"/>
          <w:shd w:val="clear" w:color="auto" w:fill="FFFFFF"/>
        </w:rPr>
        <w:t>1</w:t>
      </w:r>
      <w:r w:rsidR="005B6075">
        <w:rPr>
          <w:rFonts w:cs="Arial"/>
          <w:sz w:val="20"/>
          <w:szCs w:val="20"/>
          <w:shd w:val="clear" w:color="auto" w:fill="FFFFFF"/>
        </w:rPr>
        <w:t>(3), 516</w:t>
      </w:r>
      <w:r w:rsidR="005B6075" w:rsidRPr="007762F3">
        <w:rPr>
          <w:rFonts w:cs="Arial"/>
          <w:sz w:val="20"/>
          <w:szCs w:val="20"/>
          <w:shd w:val="clear" w:color="auto" w:fill="FFFFFF"/>
        </w:rPr>
        <w:t>–</w:t>
      </w:r>
      <w:r w:rsidRPr="007762F3">
        <w:rPr>
          <w:rFonts w:cs="Arial"/>
          <w:sz w:val="20"/>
          <w:szCs w:val="20"/>
          <w:shd w:val="clear" w:color="auto" w:fill="FFFFFF"/>
        </w:rPr>
        <w:t xml:space="preserve">537. </w:t>
      </w:r>
      <w:hyperlink r:id="rId20" w:history="1">
        <w:r w:rsidRPr="007762F3">
          <w:rPr>
            <w:rStyle w:val="Hyperlink"/>
            <w:rFonts w:cs="Arial"/>
            <w:color w:val="auto"/>
            <w:sz w:val="20"/>
            <w:szCs w:val="20"/>
            <w:u w:val="none"/>
            <w:shd w:val="clear" w:color="auto" w:fill="FFFFFF"/>
          </w:rPr>
          <w:t>https://jurnal.widyahumaniora.org/index.php/jptwh/article/view/73</w:t>
        </w:r>
      </w:hyperlink>
    </w:p>
    <w:p w:rsidR="005A2EDA" w:rsidRPr="007762F3" w:rsidRDefault="00C252A2" w:rsidP="005A2EDA">
      <w:pPr>
        <w:ind w:left="567" w:hanging="425"/>
        <w:jc w:val="both"/>
        <w:rPr>
          <w:rFonts w:cs="Arial"/>
          <w:sz w:val="20"/>
          <w:szCs w:val="20"/>
          <w:shd w:val="clear" w:color="auto" w:fill="FFFFFF"/>
        </w:rPr>
      </w:pPr>
      <w:r w:rsidRPr="007762F3">
        <w:rPr>
          <w:rFonts w:cs="Arial"/>
          <w:sz w:val="20"/>
          <w:szCs w:val="20"/>
          <w:shd w:val="clear" w:color="auto" w:fill="FFFFFF"/>
        </w:rPr>
        <w:t>Rismawanda, H., &amp; Mustika, D</w:t>
      </w:r>
      <w:r w:rsidRPr="007762F3">
        <w:rPr>
          <w:rFonts w:cs="Arial"/>
          <w:sz w:val="20"/>
          <w:szCs w:val="20"/>
          <w:shd w:val="clear" w:color="auto" w:fill="FFFFFF"/>
        </w:rPr>
        <w:t xml:space="preserve">. (2024). Teachers' Ability to Develop Teaching Modules in the Merdeka Curriculum in Primary Schools. </w:t>
      </w:r>
      <w:r w:rsidRPr="007762F3">
        <w:rPr>
          <w:rFonts w:cs="Arial"/>
          <w:i/>
          <w:iCs/>
          <w:sz w:val="20"/>
          <w:szCs w:val="20"/>
          <w:shd w:val="clear" w:color="auto" w:fill="FFFFFF"/>
        </w:rPr>
        <w:t>Aulad: Journal on Early Childhood</w:t>
      </w:r>
      <w:r w:rsidRPr="007762F3">
        <w:rPr>
          <w:rFonts w:cs="Arial"/>
          <w:sz w:val="20"/>
          <w:szCs w:val="20"/>
          <w:shd w:val="clear" w:color="auto" w:fill="FFFFFF"/>
        </w:rPr>
        <w:t xml:space="preserve">, </w:t>
      </w:r>
      <w:r w:rsidRPr="007762F3">
        <w:rPr>
          <w:rFonts w:cs="Arial"/>
          <w:i/>
          <w:iCs/>
          <w:sz w:val="20"/>
          <w:szCs w:val="20"/>
          <w:shd w:val="clear" w:color="auto" w:fill="FFFFFF"/>
        </w:rPr>
        <w:t>7</w:t>
      </w:r>
      <w:r w:rsidR="005B6075">
        <w:rPr>
          <w:rFonts w:cs="Arial"/>
          <w:sz w:val="20"/>
          <w:szCs w:val="20"/>
          <w:shd w:val="clear" w:color="auto" w:fill="FFFFFF"/>
        </w:rPr>
        <w:t>(1), 32</w:t>
      </w:r>
      <w:r w:rsidR="005B6075" w:rsidRPr="007762F3">
        <w:rPr>
          <w:rFonts w:cs="Arial"/>
          <w:sz w:val="20"/>
          <w:szCs w:val="20"/>
          <w:shd w:val="clear" w:color="auto" w:fill="FFFFFF"/>
        </w:rPr>
        <w:t>–</w:t>
      </w:r>
      <w:r w:rsidRPr="007762F3">
        <w:rPr>
          <w:rFonts w:cs="Arial"/>
          <w:sz w:val="20"/>
          <w:szCs w:val="20"/>
          <w:shd w:val="clear" w:color="auto" w:fill="FFFFFF"/>
        </w:rPr>
        <w:t xml:space="preserve">42. </w:t>
      </w:r>
      <w:hyperlink r:id="rId21" w:history="1">
        <w:r w:rsidRPr="007762F3">
          <w:rPr>
            <w:rStyle w:val="Hyperlink"/>
            <w:rFonts w:cs="Arial"/>
            <w:color w:val="auto"/>
            <w:sz w:val="20"/>
            <w:szCs w:val="20"/>
            <w:u w:val="none"/>
            <w:shd w:val="clear" w:color="auto" w:fill="FFFFFF"/>
          </w:rPr>
          <w:t>https://doi.org/10.31004/aulad.v7i1.575</w:t>
        </w:r>
      </w:hyperlink>
    </w:p>
    <w:p w:rsidR="005A2EDA" w:rsidRPr="007762F3" w:rsidRDefault="00C252A2" w:rsidP="005A2EDA">
      <w:pPr>
        <w:ind w:left="567" w:hanging="425"/>
        <w:jc w:val="both"/>
        <w:rPr>
          <w:sz w:val="20"/>
          <w:szCs w:val="20"/>
        </w:rPr>
      </w:pPr>
      <w:r w:rsidRPr="007762F3">
        <w:rPr>
          <w:rFonts w:cs="Arial"/>
          <w:sz w:val="20"/>
          <w:szCs w:val="20"/>
          <w:shd w:val="clear" w:color="auto" w:fill="FFFFFF"/>
        </w:rPr>
        <w:t>Rizal, M.,</w:t>
      </w:r>
      <w:r w:rsidRPr="007762F3">
        <w:rPr>
          <w:rFonts w:cs="Arial"/>
          <w:sz w:val="20"/>
          <w:szCs w:val="20"/>
          <w:shd w:val="clear" w:color="auto" w:fill="FFFFFF"/>
        </w:rPr>
        <w:t xml:space="preserve"> Iqbal, M., &amp; Rahima, R. (2022). Training on Designing Pancasila Student Profile Project Modules for Teachers of SDN 6 Peusangan Selatan through In-House Training of Activist Schools. </w:t>
      </w:r>
      <w:r w:rsidRPr="007762F3">
        <w:rPr>
          <w:rFonts w:cs="Arial"/>
          <w:i/>
          <w:iCs/>
          <w:sz w:val="20"/>
          <w:szCs w:val="20"/>
          <w:shd w:val="clear" w:color="auto" w:fill="FFFFFF"/>
        </w:rPr>
        <w:t>Community Development Journal: Journal of Community Service</w:t>
      </w:r>
      <w:r w:rsidRPr="007762F3">
        <w:rPr>
          <w:rFonts w:cs="Arial"/>
          <w:sz w:val="20"/>
          <w:szCs w:val="20"/>
          <w:shd w:val="clear" w:color="auto" w:fill="FFFFFF"/>
        </w:rPr>
        <w:t xml:space="preserve">, </w:t>
      </w:r>
      <w:r w:rsidRPr="007762F3">
        <w:rPr>
          <w:rFonts w:cs="Arial"/>
          <w:i/>
          <w:iCs/>
          <w:sz w:val="20"/>
          <w:szCs w:val="20"/>
          <w:shd w:val="clear" w:color="auto" w:fill="FFFFFF"/>
        </w:rPr>
        <w:t>3</w:t>
      </w:r>
      <w:r w:rsidR="005B6075">
        <w:rPr>
          <w:rFonts w:cs="Arial"/>
          <w:sz w:val="20"/>
          <w:szCs w:val="20"/>
          <w:shd w:val="clear" w:color="auto" w:fill="FFFFFF"/>
        </w:rPr>
        <w:t>(3), 1574</w:t>
      </w:r>
      <w:r w:rsidR="005B6075" w:rsidRPr="007762F3">
        <w:rPr>
          <w:rFonts w:cs="Arial"/>
          <w:sz w:val="20"/>
          <w:szCs w:val="20"/>
          <w:shd w:val="clear" w:color="auto" w:fill="FFFFFF"/>
        </w:rPr>
        <w:t>–</w:t>
      </w:r>
      <w:r w:rsidRPr="007762F3">
        <w:rPr>
          <w:rFonts w:cs="Arial"/>
          <w:sz w:val="20"/>
          <w:szCs w:val="20"/>
          <w:shd w:val="clear" w:color="auto" w:fill="FFFFFF"/>
        </w:rPr>
        <w:t xml:space="preserve">1580. </w:t>
      </w:r>
      <w:hyperlink r:id="rId22" w:history="1">
        <w:r w:rsidRPr="007762F3">
          <w:rPr>
            <w:rStyle w:val="Hyperlink"/>
            <w:rFonts w:cs="Arial"/>
            <w:color w:val="auto"/>
            <w:sz w:val="20"/>
            <w:szCs w:val="20"/>
            <w:u w:val="none"/>
            <w:shd w:val="clear" w:color="auto" w:fill="FFFFFF"/>
          </w:rPr>
          <w:t>https://doi.</w:t>
        </w:r>
      </w:hyperlink>
      <w:r w:rsidRPr="007762F3">
        <w:rPr>
          <w:rFonts w:cs="Arial"/>
          <w:sz w:val="20"/>
          <w:szCs w:val="20"/>
          <w:shd w:val="clear" w:color="auto" w:fill="FFFFFF"/>
        </w:rPr>
        <w:t xml:space="preserve">org/10.31004/cdj.v3i3.6878Suhartini, T. (2021). In-house training (IHT) improves teacher competence in preparing Merdeka Belajar lesson plans. </w:t>
      </w:r>
      <w:r w:rsidRPr="007762F3">
        <w:rPr>
          <w:rFonts w:cs="Arial"/>
          <w:i/>
          <w:iCs/>
          <w:sz w:val="20"/>
          <w:szCs w:val="20"/>
          <w:shd w:val="clear" w:color="auto" w:fill="FFFFFF"/>
        </w:rPr>
        <w:t>JANACITTA</w:t>
      </w:r>
      <w:r w:rsidRPr="007762F3">
        <w:rPr>
          <w:rFonts w:cs="Arial"/>
          <w:sz w:val="20"/>
          <w:szCs w:val="20"/>
          <w:shd w:val="clear" w:color="auto" w:fill="FFFFFF"/>
        </w:rPr>
        <w:t xml:space="preserve">, </w:t>
      </w:r>
      <w:r w:rsidRPr="007762F3">
        <w:rPr>
          <w:rFonts w:cs="Arial"/>
          <w:i/>
          <w:iCs/>
          <w:sz w:val="20"/>
          <w:szCs w:val="20"/>
          <w:shd w:val="clear" w:color="auto" w:fill="FFFFFF"/>
        </w:rPr>
        <w:t>4</w:t>
      </w:r>
      <w:r w:rsidR="005B6075">
        <w:rPr>
          <w:rFonts w:cs="Arial"/>
          <w:sz w:val="20"/>
          <w:szCs w:val="20"/>
          <w:shd w:val="clear" w:color="auto" w:fill="FFFFFF"/>
        </w:rPr>
        <w:t>(1), 45</w:t>
      </w:r>
      <w:r w:rsidR="005B6075" w:rsidRPr="007762F3">
        <w:rPr>
          <w:rFonts w:cs="Arial"/>
          <w:sz w:val="20"/>
          <w:szCs w:val="20"/>
          <w:shd w:val="clear" w:color="auto" w:fill="FFFFFF"/>
        </w:rPr>
        <w:t>–</w:t>
      </w:r>
      <w:r w:rsidRPr="007762F3">
        <w:rPr>
          <w:rFonts w:cs="Arial"/>
          <w:sz w:val="20"/>
          <w:szCs w:val="20"/>
          <w:shd w:val="clear" w:color="auto" w:fill="FFFFFF"/>
        </w:rPr>
        <w:t xml:space="preserve">56. </w:t>
      </w:r>
      <w:hyperlink r:id="rId23" w:history="1">
        <w:r w:rsidRPr="007762F3">
          <w:rPr>
            <w:rStyle w:val="Hyperlink"/>
            <w:color w:val="auto"/>
            <w:sz w:val="20"/>
            <w:szCs w:val="20"/>
            <w:u w:val="none"/>
          </w:rPr>
          <w:t>https://doi.org/10.35473/jnctt.v4i1.919</w:t>
        </w:r>
      </w:hyperlink>
    </w:p>
    <w:p w:rsidR="00647346" w:rsidRDefault="00C252A2" w:rsidP="00647346">
      <w:pPr>
        <w:ind w:left="567" w:hanging="425"/>
        <w:jc w:val="both"/>
        <w:rPr>
          <w:rStyle w:val="Hyperlink"/>
          <w:rFonts w:cs="Segoe UI"/>
          <w:color w:val="auto"/>
          <w:sz w:val="20"/>
          <w:szCs w:val="20"/>
          <w:u w:val="none"/>
          <w:shd w:val="clear" w:color="auto" w:fill="FFFFFF"/>
        </w:rPr>
      </w:pPr>
      <w:r w:rsidRPr="007762F3">
        <w:rPr>
          <w:rFonts w:cs="Segoe UI"/>
          <w:sz w:val="20"/>
          <w:szCs w:val="20"/>
          <w:shd w:val="clear" w:color="auto" w:fill="FFFFFF"/>
        </w:rPr>
        <w:t xml:space="preserve">Saifullah, A. (2023). Improving Teacher Competence in Implementing the Independent Learning Curriculum through In-House Training (IHT) at MTs Negeri 1 Sidoarjo. </w:t>
      </w:r>
      <w:r w:rsidR="009536A6">
        <w:rPr>
          <w:rFonts w:cs="Segoe UI"/>
          <w:i/>
          <w:iCs/>
          <w:sz w:val="20"/>
          <w:szCs w:val="20"/>
          <w:shd w:val="clear" w:color="auto" w:fill="FFFFFF"/>
        </w:rPr>
        <w:t xml:space="preserve">Innovative: Journal </w:t>
      </w:r>
      <w:r w:rsidRPr="007762F3">
        <w:rPr>
          <w:rFonts w:cs="Segoe UI"/>
          <w:i/>
          <w:iCs/>
          <w:sz w:val="20"/>
          <w:szCs w:val="20"/>
          <w:shd w:val="clear" w:color="auto" w:fill="FFFFFF"/>
        </w:rPr>
        <w:t>Social Science Research</w:t>
      </w:r>
      <w:r w:rsidRPr="007762F3">
        <w:rPr>
          <w:rFonts w:cs="Segoe UI"/>
          <w:sz w:val="20"/>
          <w:szCs w:val="20"/>
          <w:shd w:val="clear" w:color="auto" w:fill="FFFFFF"/>
        </w:rPr>
        <w:t xml:space="preserve">, </w:t>
      </w:r>
      <w:r w:rsidRPr="007762F3">
        <w:rPr>
          <w:rFonts w:cs="Segoe UI"/>
          <w:i/>
          <w:iCs/>
          <w:sz w:val="20"/>
          <w:szCs w:val="20"/>
          <w:shd w:val="clear" w:color="auto" w:fill="FFFFFF"/>
        </w:rPr>
        <w:t>3</w:t>
      </w:r>
      <w:r w:rsidR="005B6075">
        <w:rPr>
          <w:rFonts w:cs="Segoe UI"/>
          <w:sz w:val="20"/>
          <w:szCs w:val="20"/>
          <w:shd w:val="clear" w:color="auto" w:fill="FFFFFF"/>
        </w:rPr>
        <w:t>(2), 515</w:t>
      </w:r>
      <w:r w:rsidR="005B6075" w:rsidRPr="007762F3">
        <w:rPr>
          <w:rFonts w:cs="Arial"/>
          <w:sz w:val="20"/>
          <w:szCs w:val="20"/>
          <w:shd w:val="clear" w:color="auto" w:fill="FFFFFF"/>
        </w:rPr>
        <w:t>–</w:t>
      </w:r>
      <w:r w:rsidRPr="007762F3">
        <w:rPr>
          <w:rFonts w:cs="Segoe UI"/>
          <w:sz w:val="20"/>
          <w:szCs w:val="20"/>
          <w:shd w:val="clear" w:color="auto" w:fill="FFFFFF"/>
        </w:rPr>
        <w:t xml:space="preserve">528. Retrieved from </w:t>
      </w:r>
      <w:hyperlink r:id="rId24" w:history="1">
        <w:r w:rsidRPr="007762F3">
          <w:rPr>
            <w:rStyle w:val="Hyperlink"/>
            <w:rFonts w:cs="Segoe UI"/>
            <w:color w:val="auto"/>
            <w:sz w:val="20"/>
            <w:szCs w:val="20"/>
            <w:u w:val="none"/>
            <w:shd w:val="clear" w:color="auto" w:fill="FFFFFF"/>
          </w:rPr>
          <w:t>https://j-innovative.org/index.php/Innovative/article/view/354</w:t>
        </w:r>
      </w:hyperlink>
    </w:p>
    <w:p w:rsidR="00647346" w:rsidRPr="00A8450F" w:rsidRDefault="00647346" w:rsidP="00647346">
      <w:pPr>
        <w:ind w:left="567" w:hanging="425"/>
        <w:jc w:val="both"/>
        <w:rPr>
          <w:sz w:val="20"/>
          <w:szCs w:val="20"/>
        </w:rPr>
      </w:pPr>
      <w:proofErr w:type="spellStart"/>
      <w:r w:rsidRPr="00A8450F">
        <w:rPr>
          <w:sz w:val="20"/>
          <w:szCs w:val="20"/>
        </w:rPr>
        <w:t>Sugiyono</w:t>
      </w:r>
      <w:proofErr w:type="spellEnd"/>
      <w:r w:rsidRPr="00A8450F">
        <w:rPr>
          <w:sz w:val="20"/>
          <w:szCs w:val="20"/>
        </w:rPr>
        <w:t xml:space="preserve">. (2019). </w:t>
      </w:r>
      <w:proofErr w:type="spellStart"/>
      <w:r w:rsidRPr="00A8450F">
        <w:rPr>
          <w:rStyle w:val="Emphasis"/>
          <w:sz w:val="20"/>
          <w:szCs w:val="20"/>
        </w:rPr>
        <w:t>Metode</w:t>
      </w:r>
      <w:proofErr w:type="spellEnd"/>
      <w:r w:rsidRPr="00A8450F">
        <w:rPr>
          <w:rStyle w:val="Emphasis"/>
          <w:sz w:val="20"/>
          <w:szCs w:val="20"/>
        </w:rPr>
        <w:t xml:space="preserve"> </w:t>
      </w:r>
      <w:proofErr w:type="spellStart"/>
      <w:r w:rsidRPr="00A8450F">
        <w:rPr>
          <w:rStyle w:val="Emphasis"/>
          <w:sz w:val="20"/>
          <w:szCs w:val="20"/>
        </w:rPr>
        <w:t>Penelitian</w:t>
      </w:r>
      <w:proofErr w:type="spellEnd"/>
      <w:r w:rsidRPr="00A8450F">
        <w:rPr>
          <w:rStyle w:val="Emphasis"/>
          <w:sz w:val="20"/>
          <w:szCs w:val="20"/>
        </w:rPr>
        <w:t xml:space="preserve"> </w:t>
      </w:r>
      <w:proofErr w:type="spellStart"/>
      <w:r w:rsidRPr="00A8450F">
        <w:rPr>
          <w:rStyle w:val="Emphasis"/>
          <w:sz w:val="20"/>
          <w:szCs w:val="20"/>
        </w:rPr>
        <w:t>Kuantitatif</w:t>
      </w:r>
      <w:proofErr w:type="spellEnd"/>
      <w:r w:rsidRPr="00A8450F">
        <w:rPr>
          <w:rStyle w:val="Emphasis"/>
          <w:sz w:val="20"/>
          <w:szCs w:val="20"/>
        </w:rPr>
        <w:t xml:space="preserve">, </w:t>
      </w:r>
      <w:proofErr w:type="spellStart"/>
      <w:r w:rsidRPr="00A8450F">
        <w:rPr>
          <w:rStyle w:val="Emphasis"/>
          <w:sz w:val="20"/>
          <w:szCs w:val="20"/>
        </w:rPr>
        <w:t>Kualitatif</w:t>
      </w:r>
      <w:proofErr w:type="spellEnd"/>
      <w:r w:rsidRPr="00A8450F">
        <w:rPr>
          <w:rStyle w:val="Emphasis"/>
          <w:sz w:val="20"/>
          <w:szCs w:val="20"/>
        </w:rPr>
        <w:t xml:space="preserve"> </w:t>
      </w:r>
      <w:proofErr w:type="spellStart"/>
      <w:r w:rsidRPr="00A8450F">
        <w:rPr>
          <w:rStyle w:val="Emphasis"/>
          <w:sz w:val="20"/>
          <w:szCs w:val="20"/>
        </w:rPr>
        <w:t>dan</w:t>
      </w:r>
      <w:proofErr w:type="spellEnd"/>
      <w:r w:rsidRPr="00A8450F">
        <w:rPr>
          <w:rStyle w:val="Emphasis"/>
          <w:sz w:val="20"/>
          <w:szCs w:val="20"/>
        </w:rPr>
        <w:t xml:space="preserve"> R&amp;D.</w:t>
      </w:r>
      <w:r w:rsidRPr="00A8450F">
        <w:rPr>
          <w:sz w:val="20"/>
          <w:szCs w:val="20"/>
        </w:rPr>
        <w:t xml:space="preserve"> Bandung: </w:t>
      </w:r>
      <w:proofErr w:type="spellStart"/>
      <w:r w:rsidRPr="00A8450F">
        <w:rPr>
          <w:sz w:val="20"/>
          <w:szCs w:val="20"/>
        </w:rPr>
        <w:t>Alfabeta</w:t>
      </w:r>
      <w:proofErr w:type="spellEnd"/>
      <w:r w:rsidRPr="00A8450F">
        <w:rPr>
          <w:sz w:val="20"/>
          <w:szCs w:val="20"/>
        </w:rPr>
        <w:t>.</w:t>
      </w:r>
    </w:p>
    <w:p w:rsidR="005A2EDA" w:rsidRPr="007762F3" w:rsidRDefault="00C252A2" w:rsidP="005A2EDA">
      <w:pPr>
        <w:ind w:left="567" w:hanging="425"/>
        <w:jc w:val="both"/>
        <w:rPr>
          <w:spacing w:val="1"/>
          <w:sz w:val="20"/>
          <w:szCs w:val="20"/>
        </w:rPr>
      </w:pPr>
      <w:proofErr w:type="spellStart"/>
      <w:r w:rsidRPr="007762F3">
        <w:rPr>
          <w:sz w:val="20"/>
          <w:szCs w:val="20"/>
        </w:rPr>
        <w:t>S</w:t>
      </w:r>
      <w:r w:rsidRPr="007762F3">
        <w:rPr>
          <w:sz w:val="20"/>
          <w:szCs w:val="20"/>
        </w:rPr>
        <w:t>utama</w:t>
      </w:r>
      <w:proofErr w:type="spellEnd"/>
      <w:r w:rsidRPr="007762F3">
        <w:rPr>
          <w:sz w:val="20"/>
          <w:szCs w:val="20"/>
        </w:rPr>
        <w:t xml:space="preserve">. (2019). </w:t>
      </w:r>
      <w:r w:rsidRPr="007762F3">
        <w:rPr>
          <w:i/>
          <w:sz w:val="20"/>
          <w:szCs w:val="20"/>
        </w:rPr>
        <w:t xml:space="preserve">Quantitative Research </w:t>
      </w:r>
      <w:r w:rsidRPr="007762F3">
        <w:rPr>
          <w:i/>
          <w:sz w:val="20"/>
          <w:szCs w:val="20"/>
        </w:rPr>
        <w:t>Methods, Qualitative, PTK, Mix Method, R &amp; D</w:t>
      </w:r>
      <w:r w:rsidRPr="007762F3">
        <w:rPr>
          <w:sz w:val="20"/>
          <w:szCs w:val="20"/>
        </w:rPr>
        <w:t>. Sukoharjo: CV Jasmine</w:t>
      </w:r>
    </w:p>
    <w:p w:rsidR="005A2EDA" w:rsidRPr="007762F3" w:rsidRDefault="00C252A2" w:rsidP="005A2EDA">
      <w:pPr>
        <w:ind w:left="567" w:hanging="425"/>
        <w:jc w:val="both"/>
        <w:rPr>
          <w:rFonts w:cs="Arial"/>
          <w:sz w:val="20"/>
          <w:szCs w:val="20"/>
          <w:shd w:val="clear" w:color="auto" w:fill="FFFFFF"/>
        </w:rPr>
      </w:pPr>
      <w:r w:rsidRPr="007762F3">
        <w:rPr>
          <w:rFonts w:cs="Arial"/>
          <w:sz w:val="20"/>
          <w:szCs w:val="20"/>
          <w:shd w:val="clear" w:color="auto" w:fill="FFFFFF"/>
        </w:rPr>
        <w:lastRenderedPageBreak/>
        <w:t xml:space="preserve">Tasmini, T. (2022). Improving Teachers' Competence through the In-House Training Programme for Preparing Teaching Materials Based on Local Wisdom at SD Negeri 117 Rejang Lebong. </w:t>
      </w:r>
      <w:r w:rsidR="009536A6">
        <w:rPr>
          <w:rFonts w:cs="Arial"/>
          <w:i/>
          <w:iCs/>
          <w:sz w:val="20"/>
          <w:szCs w:val="20"/>
          <w:shd w:val="clear" w:color="auto" w:fill="FFFFFF"/>
        </w:rPr>
        <w:t xml:space="preserve">Indonesian Journal </w:t>
      </w:r>
      <w:r w:rsidRPr="007762F3">
        <w:rPr>
          <w:rFonts w:cs="Arial"/>
          <w:i/>
          <w:iCs/>
          <w:sz w:val="20"/>
          <w:szCs w:val="20"/>
          <w:shd w:val="clear" w:color="auto" w:fill="FFFFFF"/>
        </w:rPr>
        <w:t>of Social Science Education (IJSSE)</w:t>
      </w:r>
      <w:r w:rsidRPr="007762F3">
        <w:rPr>
          <w:rFonts w:cs="Arial"/>
          <w:sz w:val="20"/>
          <w:szCs w:val="20"/>
          <w:shd w:val="clear" w:color="auto" w:fill="FFFFFF"/>
        </w:rPr>
        <w:t xml:space="preserve">, </w:t>
      </w:r>
      <w:r w:rsidRPr="007762F3">
        <w:rPr>
          <w:rFonts w:cs="Arial"/>
          <w:i/>
          <w:iCs/>
          <w:sz w:val="20"/>
          <w:szCs w:val="20"/>
          <w:shd w:val="clear" w:color="auto" w:fill="FFFFFF"/>
        </w:rPr>
        <w:t>4</w:t>
      </w:r>
      <w:r w:rsidRPr="007762F3">
        <w:rPr>
          <w:rFonts w:cs="Arial"/>
          <w:sz w:val="20"/>
          <w:szCs w:val="20"/>
          <w:shd w:val="clear" w:color="auto" w:fill="FFFFFF"/>
        </w:rPr>
        <w:t xml:space="preserve">(2), 191–98. </w:t>
      </w:r>
      <w:hyperlink r:id="rId25" w:history="1">
        <w:r w:rsidRPr="007762F3">
          <w:rPr>
            <w:rStyle w:val="Hyperlink"/>
            <w:rFonts w:cs="Arial"/>
            <w:color w:val="auto"/>
            <w:sz w:val="20"/>
            <w:szCs w:val="20"/>
            <w:u w:val="none"/>
            <w:shd w:val="clear" w:color="auto" w:fill="FFFFFF"/>
          </w:rPr>
          <w:t>http://dx.doi.org/10.29300/ijsse.v4i2.8228</w:t>
        </w:r>
      </w:hyperlink>
    </w:p>
    <w:p w:rsidR="005A2EDA" w:rsidRPr="007762F3" w:rsidRDefault="00C252A2" w:rsidP="005A2EDA">
      <w:pPr>
        <w:ind w:left="567" w:hanging="425"/>
        <w:jc w:val="both"/>
        <w:rPr>
          <w:rFonts w:cs="Arial"/>
          <w:sz w:val="20"/>
          <w:szCs w:val="20"/>
          <w:shd w:val="clear" w:color="auto" w:fill="FFFFFF"/>
        </w:rPr>
      </w:pPr>
      <w:r w:rsidRPr="007762F3">
        <w:rPr>
          <w:rFonts w:cs="Arial"/>
          <w:sz w:val="20"/>
          <w:szCs w:val="20"/>
          <w:shd w:val="clear" w:color="auto" w:fill="FFFFFF"/>
        </w:rPr>
        <w:t>Virgiyanti, D., Dewi, I. K., &amp; Zuliani, R. (2023). Improving teacher competence in i</w:t>
      </w:r>
      <w:r w:rsidRPr="007762F3">
        <w:rPr>
          <w:rFonts w:cs="Arial"/>
          <w:sz w:val="20"/>
          <w:szCs w:val="20"/>
          <w:shd w:val="clear" w:color="auto" w:fill="FFFFFF"/>
        </w:rPr>
        <w:t xml:space="preserve">mplementing the independent curriculum (IKM) through In-House Training (IHT) at SDIT Darul Ulum. </w:t>
      </w:r>
      <w:proofErr w:type="spellStart"/>
      <w:r w:rsidRPr="007762F3">
        <w:rPr>
          <w:rFonts w:cs="Arial"/>
          <w:i/>
          <w:iCs/>
          <w:sz w:val="20"/>
          <w:szCs w:val="20"/>
          <w:shd w:val="clear" w:color="auto" w:fill="FFFFFF"/>
        </w:rPr>
        <w:t>Anwarul</w:t>
      </w:r>
      <w:proofErr w:type="spellEnd"/>
      <w:r w:rsidRPr="007762F3">
        <w:rPr>
          <w:rFonts w:cs="Arial"/>
          <w:sz w:val="20"/>
          <w:szCs w:val="20"/>
          <w:shd w:val="clear" w:color="auto" w:fill="FFFFFF"/>
        </w:rPr>
        <w:t xml:space="preserve">, </w:t>
      </w:r>
      <w:r w:rsidRPr="007762F3">
        <w:rPr>
          <w:rFonts w:cs="Arial"/>
          <w:i/>
          <w:iCs/>
          <w:sz w:val="20"/>
          <w:szCs w:val="20"/>
          <w:shd w:val="clear" w:color="auto" w:fill="FFFFFF"/>
        </w:rPr>
        <w:t>3</w:t>
      </w:r>
      <w:r w:rsidR="005B6075">
        <w:rPr>
          <w:rFonts w:cs="Arial"/>
          <w:sz w:val="20"/>
          <w:szCs w:val="20"/>
          <w:shd w:val="clear" w:color="auto" w:fill="FFFFFF"/>
        </w:rPr>
        <w:t>(4), 751</w:t>
      </w:r>
      <w:r w:rsidR="005B6075" w:rsidRPr="007762F3">
        <w:rPr>
          <w:rFonts w:cs="Arial"/>
          <w:sz w:val="20"/>
          <w:szCs w:val="20"/>
          <w:shd w:val="clear" w:color="auto" w:fill="FFFFFF"/>
        </w:rPr>
        <w:t>–</w:t>
      </w:r>
      <w:r w:rsidRPr="007762F3">
        <w:rPr>
          <w:rFonts w:cs="Arial"/>
          <w:sz w:val="20"/>
          <w:szCs w:val="20"/>
          <w:shd w:val="clear" w:color="auto" w:fill="FFFFFF"/>
        </w:rPr>
        <w:t xml:space="preserve">766. </w:t>
      </w:r>
      <w:hyperlink r:id="rId26" w:history="1">
        <w:r w:rsidRPr="007762F3">
          <w:rPr>
            <w:rStyle w:val="Hyperlink"/>
            <w:rFonts w:cs="Arial"/>
            <w:color w:val="auto"/>
            <w:sz w:val="20"/>
            <w:szCs w:val="20"/>
            <w:u w:val="none"/>
            <w:shd w:val="clear" w:color="auto" w:fill="FFFFFF"/>
          </w:rPr>
          <w:t>https://doi.org/10.58578/anwarul.v3i4.1335</w:t>
        </w:r>
      </w:hyperlink>
    </w:p>
    <w:p w:rsidR="003817DD" w:rsidRDefault="00C252A2" w:rsidP="00D024C9">
      <w:pPr>
        <w:ind w:left="567" w:hanging="425"/>
        <w:jc w:val="both"/>
        <w:rPr>
          <w:sz w:val="14"/>
        </w:rPr>
      </w:pPr>
      <w:r w:rsidRPr="007762F3">
        <w:rPr>
          <w:rFonts w:cs="Arial"/>
          <w:sz w:val="20"/>
          <w:szCs w:val="20"/>
          <w:shd w:val="clear" w:color="auto" w:fill="FFFFFF"/>
        </w:rPr>
        <w:t>Yuhaga, Y. (2023). Increasing Tea</w:t>
      </w:r>
      <w:r w:rsidRPr="007762F3">
        <w:rPr>
          <w:rFonts w:cs="Arial"/>
          <w:sz w:val="20"/>
          <w:szCs w:val="20"/>
          <w:shd w:val="clear" w:color="auto" w:fill="FFFFFF"/>
        </w:rPr>
        <w:t xml:space="preserve">chers' Skills Developing Independent Curriculum Teaching Modules Through Training In Sd Negeri 1 Pandran Raya, Teweh Tengah District, North Barito Regency, Semester I, Academic Year 2021/2022. </w:t>
      </w:r>
      <w:r w:rsidRPr="007762F3">
        <w:rPr>
          <w:rFonts w:cs="Arial"/>
          <w:i/>
          <w:iCs/>
          <w:sz w:val="20"/>
          <w:szCs w:val="20"/>
          <w:shd w:val="clear" w:color="auto" w:fill="FFFFFF"/>
        </w:rPr>
        <w:t xml:space="preserve">Anterior </w:t>
      </w:r>
      <w:proofErr w:type="spellStart"/>
      <w:r w:rsidRPr="007762F3">
        <w:rPr>
          <w:rFonts w:cs="Arial"/>
          <w:i/>
          <w:iCs/>
          <w:sz w:val="20"/>
          <w:szCs w:val="20"/>
          <w:shd w:val="clear" w:color="auto" w:fill="FFFFFF"/>
        </w:rPr>
        <w:t>Jurnal</w:t>
      </w:r>
      <w:proofErr w:type="spellEnd"/>
      <w:r w:rsidRPr="007762F3">
        <w:rPr>
          <w:rFonts w:cs="Arial"/>
          <w:sz w:val="20"/>
          <w:szCs w:val="20"/>
          <w:shd w:val="clear" w:color="auto" w:fill="FFFFFF"/>
        </w:rPr>
        <w:t xml:space="preserve">, </w:t>
      </w:r>
      <w:r w:rsidRPr="007762F3">
        <w:rPr>
          <w:rFonts w:cs="Arial"/>
          <w:i/>
          <w:iCs/>
          <w:sz w:val="20"/>
          <w:szCs w:val="20"/>
          <w:shd w:val="clear" w:color="auto" w:fill="FFFFFF"/>
        </w:rPr>
        <w:t>22</w:t>
      </w:r>
      <w:r w:rsidR="005B6075">
        <w:rPr>
          <w:rFonts w:cs="Arial"/>
          <w:sz w:val="20"/>
          <w:szCs w:val="20"/>
          <w:shd w:val="clear" w:color="auto" w:fill="FFFFFF"/>
        </w:rPr>
        <w:t>(1), 52</w:t>
      </w:r>
      <w:r w:rsidR="005B6075" w:rsidRPr="007762F3">
        <w:rPr>
          <w:rFonts w:cs="Arial"/>
          <w:sz w:val="20"/>
          <w:szCs w:val="20"/>
          <w:shd w:val="clear" w:color="auto" w:fill="FFFFFF"/>
        </w:rPr>
        <w:t>–</w:t>
      </w:r>
      <w:r w:rsidRPr="007762F3">
        <w:rPr>
          <w:rFonts w:cs="Arial"/>
          <w:sz w:val="20"/>
          <w:szCs w:val="20"/>
          <w:shd w:val="clear" w:color="auto" w:fill="FFFFFF"/>
        </w:rPr>
        <w:t xml:space="preserve">58. </w:t>
      </w:r>
      <w:hyperlink r:id="rId27" w:history="1">
        <w:r w:rsidRPr="007762F3">
          <w:rPr>
            <w:rStyle w:val="Hyperlink"/>
            <w:rFonts w:cs="Arial"/>
            <w:color w:val="auto"/>
            <w:sz w:val="20"/>
            <w:szCs w:val="20"/>
            <w:u w:val="none"/>
            <w:shd w:val="clear" w:color="auto" w:fill="FFFFFF"/>
          </w:rPr>
          <w:t>https://doi.org/10.33084/anterior.v22i1.4197</w:t>
        </w:r>
      </w:hyperlink>
      <w:bookmarkEnd w:id="6"/>
    </w:p>
    <w:sectPr w:rsidR="003817DD">
      <w:headerReference w:type="default" r:id="rId28"/>
      <w:footerReference w:type="default" r:id="rId29"/>
      <w:pgSz w:w="11910" w:h="16840"/>
      <w:pgMar w:top="1140" w:right="1280" w:bottom="1080" w:left="1300" w:header="902" w:footer="89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52A2" w:rsidRDefault="00C252A2">
      <w:r>
        <w:separator/>
      </w:r>
    </w:p>
  </w:endnote>
  <w:endnote w:type="continuationSeparator" w:id="0">
    <w:p w:rsidR="00C252A2" w:rsidRDefault="00C2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24AD" w:rsidRDefault="00C252A2">
    <w:pPr>
      <w:pStyle w:val="BodyText"/>
      <w:spacing w:line="14" w:lineRule="auto"/>
      <w:ind w:left="0"/>
      <w:jc w:val="left"/>
    </w:pPr>
    <w:r>
      <w:rPr>
        <w:noProof/>
      </w:rPr>
      <mc:AlternateContent>
        <mc:Choice Requires="wps">
          <w:drawing>
            <wp:anchor distT="0" distB="0" distL="114300" distR="114300" simplePos="0" relativeHeight="251658240" behindDoc="1" locked="0" layoutInCell="1" allowOverlap="1">
              <wp:simplePos x="0" y="0"/>
              <wp:positionH relativeFrom="page">
                <wp:posOffset>4086225</wp:posOffset>
              </wp:positionH>
              <wp:positionV relativeFrom="page">
                <wp:posOffset>10024110</wp:posOffset>
              </wp:positionV>
              <wp:extent cx="2459990" cy="129540"/>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9990"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4AD" w:rsidRDefault="00C252A2">
                          <w:pPr>
                            <w:spacing w:line="186" w:lineRule="exact"/>
                            <w:ind w:left="20"/>
                            <w:rPr>
                              <w:sz w:val="16"/>
                            </w:rPr>
                          </w:pPr>
                          <w:hyperlink r:id="rId1">
                            <w:r>
                              <w:rPr>
                                <w:sz w:val="16"/>
                              </w:rPr>
                              <w:t>http://journal.staihubbulwathan.id/index.php/alishlah</w:t>
                            </w:r>
                          </w:hyperlink>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321.75pt;margin-top:789.3pt;width:193.7pt;height:10.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" filled="f" stroked="f">
              <v:textbox inset="0,0,0,0">
                <w:txbxContent>
                  <w:p w:rsidR="00EE24AD" w:rsidRDefault="00C252A2">
                    <w:pPr>
                      <w:spacing w:line="186" w:lineRule="exact"/>
                      <w:ind w:left="20"/>
                      <w:rPr>
                        <w:sz w:val="16"/>
                      </w:rPr>
                    </w:pPr>
                    <w:hyperlink r:id="rId2">
                      <w:r>
                        <w:rPr>
                          <w:sz w:val="16"/>
                        </w:rPr>
                        <w:t>http://journal.staihubbulwathan.id/index.php/alishlah</w:t>
                      </w:r>
                    </w:hyperlink>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24AD" w:rsidRDefault="00C252A2">
    <w:pPr>
      <w:pStyle w:val="BodyText"/>
      <w:spacing w:line="14" w:lineRule="auto"/>
      <w:ind w:left="0"/>
      <w:jc w:val="left"/>
    </w:pPr>
    <w:r>
      <w:rPr>
        <w:noProof/>
      </w:rPr>
      <mc:AlternateContent>
        <mc:Choice Requires="wps">
          <w:drawing>
            <wp:anchor distT="0" distB="0" distL="114300" distR="114300" simplePos="0" relativeHeight="251661312" behindDoc="1" locked="0" layoutInCell="1" allowOverlap="1" wp14:anchorId="6C2DB95C" wp14:editId="312CEF31">
              <wp:simplePos x="0" y="0"/>
              <wp:positionH relativeFrom="page">
                <wp:posOffset>904875</wp:posOffset>
              </wp:positionH>
              <wp:positionV relativeFrom="page">
                <wp:posOffset>10144125</wp:posOffset>
              </wp:positionV>
              <wp:extent cx="5758180" cy="361950"/>
              <wp:effectExtent l="0" t="0" r="1397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75818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1B30" w:rsidRPr="00EF1B30" w:rsidRDefault="00C252A2" w:rsidP="00EF1B30">
                          <w:pPr>
                            <w:pStyle w:val="Title"/>
                            <w:spacing w:line="254" w:lineRule="auto"/>
                            <w:rPr>
                              <w:sz w:val="16"/>
                              <w:szCs w:val="16"/>
                            </w:rPr>
                          </w:pPr>
                          <w:r>
                            <w:rPr>
                              <w:i/>
                              <w:sz w:val="16"/>
                            </w:rPr>
                            <w:t>Sri Wahyuni</w:t>
                          </w:r>
                          <w:r w:rsidR="003D0997">
                            <w:rPr>
                              <w:i/>
                              <w:sz w:val="16"/>
                            </w:rPr>
                            <w:t xml:space="preserve">, </w:t>
                          </w:r>
                          <w:r>
                            <w:rPr>
                              <w:i/>
                              <w:sz w:val="16"/>
                            </w:rPr>
                            <w:t xml:space="preserve">Sabar Narimo, Achmad Fathoni </w:t>
                          </w:r>
                          <w:r>
                            <w:rPr>
                              <w:i/>
                              <w:spacing w:val="7"/>
                              <w:sz w:val="16"/>
                            </w:rPr>
                            <w:t xml:space="preserve">Yeni </w:t>
                          </w:r>
                          <w:r w:rsidR="00EE24AD">
                            <w:rPr>
                              <w:i/>
                              <w:sz w:val="16"/>
                            </w:rPr>
                            <w:t>Prastiwi</w:t>
                          </w:r>
                          <w:r>
                            <w:rPr>
                              <w:i/>
                              <w:spacing w:val="7"/>
                              <w:sz w:val="16"/>
                            </w:rPr>
                            <w:t xml:space="preserve"> / </w:t>
                          </w:r>
                          <w:r w:rsidR="006050B1">
                            <w:rPr>
                              <w:i/>
                              <w:spacing w:val="7"/>
                              <w:sz w:val="16"/>
                            </w:rPr>
                            <w:t xml:space="preserve">Teacher Competence in </w:t>
                          </w:r>
                          <w:r w:rsidR="00B6646C">
                            <w:rPr>
                              <w:i/>
                              <w:spacing w:val="7"/>
                              <w:sz w:val="16"/>
                            </w:rPr>
                            <w:t>Developing Teaching Modules t</w:t>
                          </w:r>
                          <w:r w:rsidR="006050B1">
                            <w:rPr>
                              <w:i/>
                              <w:spacing w:val="7"/>
                              <w:sz w:val="16"/>
                            </w:rPr>
                            <w:t>hrough In-House Training at Madrasah Ibtidaiyah</w:t>
                          </w:r>
                        </w:p>
                        <w:p w:rsidR="00EE24AD" w:rsidRDefault="00EE24AD" w:rsidP="003D0997">
                          <w:pPr>
                            <w:spacing w:line="186" w:lineRule="exact"/>
                            <w:ind w:left="20"/>
                            <w:rPr>
                              <w:i/>
                              <w:sz w:val="16"/>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C2DB95C" id="_x0000_t202" coordsize="21600,21600" o:spt="202" path="m,l,21600r21600,l21600,xe">
              <v:stroke joinstyle="miter"/>
              <v:path gradientshapeok="t" o:connecttype="rect"/>
            </v:shapetype>
            <v:shape id="Text Box 1" o:spid="_x0000_s1030" type="#_x0000_t202" style="position:absolute;margin-left:71.25pt;margin-top:798.75pt;width:453.4pt;height:28.5pt;flip:y;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" filled="f" stroked="f">
              <v:textbox inset="0,0,0,0">
                <w:txbxContent>
                  <w:p w:rsidR="00EF1B30" w:rsidRPr="00EF1B30" w:rsidRDefault="00C252A2" w:rsidP="00EF1B30">
                    <w:pPr>
                      <w:pStyle w:val="Title"/>
                      <w:spacing w:line="254" w:lineRule="auto"/>
                      <w:rPr>
                        <w:sz w:val="16"/>
                        <w:szCs w:val="16"/>
                      </w:rPr>
                    </w:pPr>
                    <w:r>
                      <w:rPr>
                        <w:i/>
                        <w:sz w:val="16"/>
                      </w:rPr>
                      <w:t>Sri Wahyuni</w:t>
                    </w:r>
                    <w:r w:rsidR="003D0997">
                      <w:rPr>
                        <w:i/>
                        <w:sz w:val="16"/>
                      </w:rPr>
                      <w:t xml:space="preserve">, </w:t>
                    </w:r>
                    <w:r>
                      <w:rPr>
                        <w:i/>
                        <w:sz w:val="16"/>
                      </w:rPr>
                      <w:t xml:space="preserve">Sabar Narimo, Achmad Fathoni </w:t>
                    </w:r>
                    <w:r>
                      <w:rPr>
                        <w:i/>
                        <w:spacing w:val="7"/>
                        <w:sz w:val="16"/>
                      </w:rPr>
                      <w:t xml:space="preserve">Yeni </w:t>
                    </w:r>
                    <w:r w:rsidR="00EE24AD">
                      <w:rPr>
                        <w:i/>
                        <w:sz w:val="16"/>
                      </w:rPr>
                      <w:t>Prastiwi</w:t>
                    </w:r>
                    <w:r>
                      <w:rPr>
                        <w:i/>
                        <w:spacing w:val="7"/>
                        <w:sz w:val="16"/>
                      </w:rPr>
                      <w:t xml:space="preserve"> / </w:t>
                    </w:r>
                    <w:r w:rsidR="006050B1">
                      <w:rPr>
                        <w:i/>
                        <w:spacing w:val="7"/>
                        <w:sz w:val="16"/>
                      </w:rPr>
                      <w:t xml:space="preserve">Teacher Competence in </w:t>
                    </w:r>
                    <w:r w:rsidR="00B6646C">
                      <w:rPr>
                        <w:i/>
                        <w:spacing w:val="7"/>
                        <w:sz w:val="16"/>
                      </w:rPr>
                      <w:t>Developing Teaching Modules t</w:t>
                    </w:r>
                    <w:r w:rsidR="006050B1">
                      <w:rPr>
                        <w:i/>
                        <w:spacing w:val="7"/>
                        <w:sz w:val="16"/>
                      </w:rPr>
                      <w:t>hrough In-House Training at Madrasah Ibtidaiyah</w:t>
                    </w:r>
                  </w:p>
                  <w:p w:rsidR="00EE24AD" w:rsidRDefault="00EE24AD" w:rsidP="003D0997">
                    <w:pPr>
                      <w:spacing w:line="186" w:lineRule="exact"/>
                      <w:ind w:left="20"/>
                      <w:rPr>
                        <w:i/>
                        <w:sz w:val="16"/>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52A2" w:rsidRDefault="00C252A2">
      <w:r>
        <w:separator/>
      </w:r>
    </w:p>
  </w:footnote>
  <w:footnote w:type="continuationSeparator" w:id="0">
    <w:p w:rsidR="00C252A2" w:rsidRDefault="00C252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24AD" w:rsidRDefault="00C252A2">
    <w:pPr>
      <w:pStyle w:val="BodyText"/>
      <w:spacing w:line="14" w:lineRule="auto"/>
      <w:ind w:left="0"/>
      <w:jc w:val="left"/>
    </w:pPr>
    <w:r>
      <w:rPr>
        <w:noProof/>
      </w:rPr>
      <mc:AlternateContent>
        <mc:Choice Requires="wps">
          <w:drawing>
            <wp:anchor distT="0" distB="0" distL="114300" distR="114300" simplePos="0" relativeHeight="251659264" behindDoc="1" locked="0" layoutInCell="1" allowOverlap="1">
              <wp:simplePos x="0" y="0"/>
              <wp:positionH relativeFrom="page">
                <wp:posOffset>901700</wp:posOffset>
              </wp:positionH>
              <wp:positionV relativeFrom="page">
                <wp:posOffset>568325</wp:posOffset>
              </wp:positionV>
              <wp:extent cx="1705610" cy="154305"/>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5610"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4AD" w:rsidRDefault="00C252A2">
                          <w:pPr>
                            <w:spacing w:line="226" w:lineRule="exact"/>
                            <w:ind w:left="20"/>
                            <w:rPr>
                              <w:b/>
                              <w:sz w:val="20"/>
                            </w:rPr>
                          </w:pPr>
                          <w:r>
                            <w:rPr>
                              <w:b/>
                              <w:sz w:val="20"/>
                            </w:rPr>
                            <w:t xml:space="preserve">Al-Islah: </w:t>
                          </w:r>
                          <w:r>
                            <w:rPr>
                              <w:b/>
                              <w:sz w:val="20"/>
                            </w:rPr>
                            <w:t>Journal of Education</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71pt;margin-top:44.75pt;width:134.3pt;height:12.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" filled="f" stroked="f">
              <v:textbox inset="0,0,0,0">
                <w:txbxContent>
                  <w:p w:rsidR="00EE24AD" w:rsidRDefault="00C252A2">
                    <w:pPr>
                      <w:spacing w:line="226" w:lineRule="exact"/>
                      <w:ind w:left="20"/>
                      <w:rPr>
                        <w:b/>
                        <w:sz w:val="20"/>
                      </w:rPr>
                    </w:pPr>
                    <w:r>
                      <w:rPr>
                        <w:b/>
                        <w:sz w:val="20"/>
                      </w:rPr>
                      <w:t xml:space="preserve">Al-Islah: </w:t>
                    </w:r>
                    <w:r>
                      <w:rPr>
                        <w:b/>
                        <w:sz w:val="20"/>
                      </w:rPr>
                      <w:t>Journal of Education</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24AD" w:rsidRDefault="00C252A2">
    <w:pPr>
      <w:pStyle w:val="BodyText"/>
      <w:spacing w:line="14" w:lineRule="auto"/>
      <w:ind w:left="0"/>
      <w:jc w:val="left"/>
    </w:pPr>
    <w:r>
      <w:rPr>
        <w:noProof/>
      </w:rPr>
      <mc:AlternateContent>
        <mc:Choice Requires="wps">
          <w:drawing>
            <wp:anchor distT="0" distB="0" distL="114300" distR="114300" simplePos="0" relativeHeight="251660288" behindDoc="1" locked="0" layoutInCell="1" allowOverlap="1" wp14:anchorId="43B3C2D9" wp14:editId="6246D7C5">
              <wp:simplePos x="0" y="0"/>
              <wp:positionH relativeFrom="page">
                <wp:posOffset>923290</wp:posOffset>
              </wp:positionH>
              <wp:positionV relativeFrom="page">
                <wp:posOffset>731520</wp:posOffset>
              </wp:positionV>
              <wp:extent cx="5615940" cy="0"/>
              <wp:effectExtent l="0" t="0" r="0" b="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Line 4" o:spid="_x0000_s2051" style="mso-height-percent:0;mso-height-relative:page;mso-position-horizontal-relative:page;mso-position-vertical-relative:page;mso-width-percent:0;mso-width-relative:page;mso-wrap-distance-bottom:0;mso-wrap-distance-left:9pt;mso-wrap-distance-right:9pt;mso-wrap-distance-top:0;mso-wrap-style:square;position:absolute;visibility:visible;z-index:-251655168" from="72.7pt,57.6pt" to="514.9pt,57.6pt"/>
          </w:pict>
        </mc:Fallback>
      </mc:AlternateContent>
    </w:r>
    <w:r>
      <w:rPr>
        <w:noProof/>
      </w:rPr>
      <mc:AlternateContent>
        <mc:Choice Requires="wps">
          <w:drawing>
            <wp:anchor distT="0" distB="0" distL="114300" distR="114300" simplePos="0" relativeHeight="251662336" behindDoc="1" locked="0" layoutInCell="1" allowOverlap="1" wp14:anchorId="52D091B5" wp14:editId="2672B13C">
              <wp:simplePos x="0" y="0"/>
              <wp:positionH relativeFrom="page">
                <wp:posOffset>901700</wp:posOffset>
              </wp:positionH>
              <wp:positionV relativeFrom="page">
                <wp:posOffset>560070</wp:posOffset>
              </wp:positionV>
              <wp:extent cx="2846070" cy="12954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6070"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4AD" w:rsidRDefault="00C252A2">
                          <w:pPr>
                            <w:spacing w:line="186" w:lineRule="exact"/>
                            <w:ind w:left="20"/>
                            <w:rPr>
                              <w:i/>
                              <w:sz w:val="16"/>
                            </w:rPr>
                          </w:pPr>
                          <w:r>
                            <w:rPr>
                              <w:i/>
                              <w:sz w:val="16"/>
                            </w:rPr>
                            <w:t xml:space="preserve">Al-Ishlah: Journal of Education, Vol. , </w:t>
                          </w:r>
                          <w:r w:rsidR="00C8152E">
                            <w:rPr>
                              <w:i/>
                              <w:sz w:val="16"/>
                            </w:rPr>
                            <w:t>(</w:t>
                          </w:r>
                          <w:r>
                            <w:rPr>
                              <w:i/>
                              <w:sz w:val="16"/>
                            </w:rPr>
                            <w:t xml:space="preserve">......): </w:t>
                          </w:r>
                          <w:r w:rsidR="00C8152E">
                            <w:rPr>
                              <w:i/>
                              <w:sz w:val="16"/>
                            </w:rPr>
                            <w: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2D091B5" id="_x0000_t202" coordsize="21600,21600" o:spt="202" path="m,l,21600r21600,l21600,xe">
              <v:stroke joinstyle="miter"/>
              <v:path gradientshapeok="t" o:connecttype="rect"/>
            </v:shapetype>
            <v:shape id="Text Box 3" o:spid="_x0000_s1028" type="#_x0000_t202" style="position:absolute;margin-left:71pt;margin-top:44.1pt;width:224.1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" filled="f" stroked="f">
              <v:textbox inset="0,0,0,0">
                <w:txbxContent>
                  <w:p w:rsidR="00EE24AD" w:rsidRDefault="00C252A2">
                    <w:pPr>
                      <w:spacing w:line="186" w:lineRule="exact"/>
                      <w:ind w:left="20"/>
                      <w:rPr>
                        <w:i/>
                        <w:sz w:val="16"/>
                      </w:rPr>
                    </w:pPr>
                    <w:r>
                      <w:rPr>
                        <w:i/>
                        <w:sz w:val="16"/>
                      </w:rPr>
                      <w:t xml:space="preserve">Al-Ishlah: Journal of Education, Vol. , </w:t>
                    </w:r>
                    <w:r w:rsidR="00C8152E">
                      <w:rPr>
                        <w:i/>
                        <w:sz w:val="16"/>
                      </w:rPr>
                      <w:t>(</w:t>
                    </w:r>
                    <w:r>
                      <w:rPr>
                        <w:i/>
                        <w:sz w:val="16"/>
                      </w:rPr>
                      <w:t xml:space="preserve">......): </w:t>
                    </w:r>
                    <w:r w:rsidR="00C8152E">
                      <w:rPr>
                        <w:i/>
                        <w:sz w:val="16"/>
                      </w:rPr>
                      <w:t>.....</w:t>
                    </w:r>
                  </w:p>
                </w:txbxContent>
              </v:textbox>
              <w10:wrap anchorx="page" anchory="page"/>
            </v:shape>
          </w:pict>
        </mc:Fallback>
      </mc:AlternateContent>
    </w:r>
    <w:r>
      <w:rPr>
        <w:noProof/>
      </w:rPr>
      <mc:AlternateContent>
        <mc:Choice Requires="wps">
          <w:drawing>
            <wp:anchor distT="0" distB="0" distL="114300" distR="114300" simplePos="0" relativeHeight="251664384" behindDoc="1" locked="0" layoutInCell="1" allowOverlap="1" wp14:anchorId="19061487" wp14:editId="194E4EB2">
              <wp:simplePos x="0" y="0"/>
              <wp:positionH relativeFrom="page">
                <wp:posOffset>5946140</wp:posOffset>
              </wp:positionH>
              <wp:positionV relativeFrom="page">
                <wp:posOffset>560070</wp:posOffset>
              </wp:positionV>
              <wp:extent cx="636905" cy="12954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4AD" w:rsidRDefault="00C252A2">
                          <w:pPr>
                            <w:spacing w:line="186" w:lineRule="exact"/>
                            <w:ind w:left="60"/>
                            <w:rPr>
                              <w:sz w:val="16"/>
                            </w:rPr>
                          </w:pPr>
                          <w:r>
                            <w:fldChar w:fldCharType="begin"/>
                          </w:r>
                          <w:r>
                            <w:rPr>
                              <w:sz w:val="16"/>
                            </w:rPr>
                            <w:instrText xml:space="preserve"> PAGE </w:instrText>
                          </w:r>
                          <w:r>
                            <w:fldChar w:fldCharType="separate"/>
                          </w:r>
                          <w:r w:rsidR="00350831">
                            <w:rPr>
                              <w:noProof/>
                              <w:sz w:val="16"/>
                            </w:rPr>
                            <w:t>8</w:t>
                          </w:r>
                          <w:r>
                            <w:fldChar w:fldCharType="end"/>
                          </w:r>
                          <w:r>
                            <w:rPr>
                              <w:sz w:val="16"/>
                            </w:rPr>
                            <w:t xml:space="preserve"> of 5768</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19061487" id="Text Box 2" o:spid="_x0000_s1029" type="#_x0000_t202" style="position:absolute;margin-left:468.2pt;margin-top:44.1pt;width:50.15pt;height:10.2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" filled="f" stroked="f">
              <v:textbox inset="0,0,0,0">
                <w:txbxContent>
                  <w:p w:rsidR="00EE24AD" w:rsidRDefault="00C252A2">
                    <w:pPr>
                      <w:spacing w:line="186" w:lineRule="exact"/>
                      <w:ind w:left="60"/>
                      <w:rPr>
                        <w:sz w:val="16"/>
                      </w:rPr>
                    </w:pPr>
                    <w:r>
                      <w:fldChar w:fldCharType="begin"/>
                    </w:r>
                    <w:r>
                      <w:rPr>
                        <w:sz w:val="16"/>
                      </w:rPr>
                      <w:instrText xml:space="preserve"> PAGE </w:instrText>
                    </w:r>
                    <w:r>
                      <w:fldChar w:fldCharType="separate"/>
                    </w:r>
                    <w:r w:rsidR="00350831">
                      <w:rPr>
                        <w:noProof/>
                        <w:sz w:val="16"/>
                      </w:rPr>
                      <w:t>8</w:t>
                    </w:r>
                    <w:r>
                      <w:fldChar w:fldCharType="end"/>
                    </w:r>
                    <w:r>
                      <w:rPr>
                        <w:sz w:val="16"/>
                      </w:rPr>
                      <w:t xml:space="preserve"> of 5768</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8832F3"/>
    <w:multiLevelType w:val="hybridMultilevel"/>
    <w:tmpl w:val="8660A854"/>
    <w:lvl w:ilvl="0" w:tplc="E8F0C12C">
      <w:start w:val="1"/>
      <w:numFmt w:val="decimal"/>
      <w:lvlText w:val="%1."/>
      <w:lvlJc w:val="left"/>
      <w:pPr>
        <w:ind w:left="567" w:hanging="428"/>
      </w:pPr>
      <w:rPr>
        <w:rFonts w:ascii="Palatino Linotype" w:eastAsia="Palatino Linotype" w:hAnsi="Palatino Linotype" w:cs="Palatino Linotype" w:hint="default"/>
        <w:b/>
        <w:bCs/>
        <w:spacing w:val="0"/>
        <w:w w:val="99"/>
        <w:sz w:val="20"/>
        <w:szCs w:val="20"/>
        <w:lang w:val="en-US" w:eastAsia="en-US" w:bidi="ar-SA"/>
      </w:rPr>
    </w:lvl>
    <w:lvl w:ilvl="1" w:tplc="4F5C0062">
      <w:numFmt w:val="bullet"/>
      <w:lvlText w:val="•"/>
      <w:lvlJc w:val="left"/>
      <w:pPr>
        <w:ind w:left="920" w:hanging="428"/>
      </w:pPr>
      <w:rPr>
        <w:rFonts w:hint="default"/>
        <w:lang w:val="en-US" w:eastAsia="en-US" w:bidi="ar-SA"/>
      </w:rPr>
    </w:lvl>
    <w:lvl w:ilvl="2" w:tplc="091AA74A">
      <w:numFmt w:val="bullet"/>
      <w:lvlText w:val="•"/>
      <w:lvlJc w:val="left"/>
      <w:pPr>
        <w:ind w:left="1854" w:hanging="428"/>
      </w:pPr>
      <w:rPr>
        <w:rFonts w:hint="default"/>
        <w:lang w:val="en-US" w:eastAsia="en-US" w:bidi="ar-SA"/>
      </w:rPr>
    </w:lvl>
    <w:lvl w:ilvl="3" w:tplc="4782D20C">
      <w:numFmt w:val="bullet"/>
      <w:lvlText w:val="•"/>
      <w:lvlJc w:val="left"/>
      <w:pPr>
        <w:ind w:left="2788" w:hanging="428"/>
      </w:pPr>
      <w:rPr>
        <w:rFonts w:hint="default"/>
        <w:lang w:val="en-US" w:eastAsia="en-US" w:bidi="ar-SA"/>
      </w:rPr>
    </w:lvl>
    <w:lvl w:ilvl="4" w:tplc="BEB4A298">
      <w:numFmt w:val="bullet"/>
      <w:lvlText w:val="•"/>
      <w:lvlJc w:val="left"/>
      <w:pPr>
        <w:ind w:left="3722" w:hanging="428"/>
      </w:pPr>
      <w:rPr>
        <w:rFonts w:hint="default"/>
        <w:lang w:val="en-US" w:eastAsia="en-US" w:bidi="ar-SA"/>
      </w:rPr>
    </w:lvl>
    <w:lvl w:ilvl="5" w:tplc="4E88463A">
      <w:numFmt w:val="bullet"/>
      <w:lvlText w:val="•"/>
      <w:lvlJc w:val="left"/>
      <w:pPr>
        <w:ind w:left="4656" w:hanging="428"/>
      </w:pPr>
      <w:rPr>
        <w:rFonts w:hint="default"/>
        <w:lang w:val="en-US" w:eastAsia="en-US" w:bidi="ar-SA"/>
      </w:rPr>
    </w:lvl>
    <w:lvl w:ilvl="6" w:tplc="A426C382">
      <w:numFmt w:val="bullet"/>
      <w:lvlText w:val="•"/>
      <w:lvlJc w:val="left"/>
      <w:pPr>
        <w:ind w:left="5590" w:hanging="428"/>
      </w:pPr>
      <w:rPr>
        <w:rFonts w:hint="default"/>
        <w:lang w:val="en-US" w:eastAsia="en-US" w:bidi="ar-SA"/>
      </w:rPr>
    </w:lvl>
    <w:lvl w:ilvl="7" w:tplc="D8247876">
      <w:numFmt w:val="bullet"/>
      <w:lvlText w:val="•"/>
      <w:lvlJc w:val="left"/>
      <w:pPr>
        <w:ind w:left="6524" w:hanging="428"/>
      </w:pPr>
      <w:rPr>
        <w:rFonts w:hint="default"/>
        <w:lang w:val="en-US" w:eastAsia="en-US" w:bidi="ar-SA"/>
      </w:rPr>
    </w:lvl>
    <w:lvl w:ilvl="8" w:tplc="EB885BFA">
      <w:numFmt w:val="bullet"/>
      <w:lvlText w:val="•"/>
      <w:lvlJc w:val="left"/>
      <w:pPr>
        <w:ind w:left="7458" w:hanging="428"/>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7DD"/>
    <w:rsid w:val="00031353"/>
    <w:rsid w:val="000744B1"/>
    <w:rsid w:val="000E27AD"/>
    <w:rsid w:val="0017125B"/>
    <w:rsid w:val="001A7C59"/>
    <w:rsid w:val="00205C57"/>
    <w:rsid w:val="00237B2C"/>
    <w:rsid w:val="002772A2"/>
    <w:rsid w:val="0028438C"/>
    <w:rsid w:val="00295BC7"/>
    <w:rsid w:val="002C34AB"/>
    <w:rsid w:val="003429F9"/>
    <w:rsid w:val="00350831"/>
    <w:rsid w:val="00362B75"/>
    <w:rsid w:val="003817DD"/>
    <w:rsid w:val="00383E67"/>
    <w:rsid w:val="00396F1A"/>
    <w:rsid w:val="003C7E01"/>
    <w:rsid w:val="003D0997"/>
    <w:rsid w:val="004F00FA"/>
    <w:rsid w:val="00546DF5"/>
    <w:rsid w:val="00556A7A"/>
    <w:rsid w:val="00595E43"/>
    <w:rsid w:val="0059740D"/>
    <w:rsid w:val="005A2EDA"/>
    <w:rsid w:val="005A3242"/>
    <w:rsid w:val="005B6075"/>
    <w:rsid w:val="005C6D92"/>
    <w:rsid w:val="006050B1"/>
    <w:rsid w:val="00647346"/>
    <w:rsid w:val="00691306"/>
    <w:rsid w:val="006C272E"/>
    <w:rsid w:val="006D2B92"/>
    <w:rsid w:val="0070777D"/>
    <w:rsid w:val="0071127E"/>
    <w:rsid w:val="007133E9"/>
    <w:rsid w:val="00726BEA"/>
    <w:rsid w:val="007320C6"/>
    <w:rsid w:val="007762F3"/>
    <w:rsid w:val="00787BEE"/>
    <w:rsid w:val="0079404C"/>
    <w:rsid w:val="007A2D98"/>
    <w:rsid w:val="007E2B98"/>
    <w:rsid w:val="00804A58"/>
    <w:rsid w:val="008B13CF"/>
    <w:rsid w:val="008D5BDD"/>
    <w:rsid w:val="00935BFF"/>
    <w:rsid w:val="009406B7"/>
    <w:rsid w:val="009536A6"/>
    <w:rsid w:val="009614B0"/>
    <w:rsid w:val="009F78E4"/>
    <w:rsid w:val="00A220FE"/>
    <w:rsid w:val="00A37210"/>
    <w:rsid w:val="00A401E8"/>
    <w:rsid w:val="00A542E0"/>
    <w:rsid w:val="00B47DFE"/>
    <w:rsid w:val="00B6646C"/>
    <w:rsid w:val="00B9427A"/>
    <w:rsid w:val="00B9626F"/>
    <w:rsid w:val="00BF49B8"/>
    <w:rsid w:val="00C252A2"/>
    <w:rsid w:val="00C55D3D"/>
    <w:rsid w:val="00C8152E"/>
    <w:rsid w:val="00C82B04"/>
    <w:rsid w:val="00CF6B95"/>
    <w:rsid w:val="00D024C9"/>
    <w:rsid w:val="00D0326B"/>
    <w:rsid w:val="00D81FCE"/>
    <w:rsid w:val="00DE2031"/>
    <w:rsid w:val="00DF121B"/>
    <w:rsid w:val="00DF7A8A"/>
    <w:rsid w:val="00E73FF2"/>
    <w:rsid w:val="00EB1F6E"/>
    <w:rsid w:val="00EB75BE"/>
    <w:rsid w:val="00EC1441"/>
    <w:rsid w:val="00EE24AD"/>
    <w:rsid w:val="00EE31D6"/>
    <w:rsid w:val="00EF1B30"/>
    <w:rsid w:val="00F528DC"/>
    <w:rsid w:val="00F651FC"/>
    <w:rsid w:val="00FB2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2938CC-9BD5-4A39-B049-FD570D8C7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Palatino Linotype" w:eastAsia="Palatino Linotype" w:hAnsi="Palatino Linotype" w:cs="Palatino Linotype"/>
    </w:rPr>
  </w:style>
  <w:style w:type="paragraph" w:styleId="Heading1">
    <w:name w:val="heading 1"/>
    <w:basedOn w:val="Normal"/>
    <w:uiPriority w:val="1"/>
    <w:qFormat/>
    <w:pPr>
      <w:ind w:left="14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jc w:val="both"/>
    </w:pPr>
    <w:rPr>
      <w:sz w:val="20"/>
      <w:szCs w:val="20"/>
    </w:rPr>
  </w:style>
  <w:style w:type="paragraph" w:styleId="Title">
    <w:name w:val="Title"/>
    <w:basedOn w:val="Normal"/>
    <w:uiPriority w:val="1"/>
    <w:qFormat/>
    <w:pPr>
      <w:spacing w:before="12"/>
      <w:ind w:left="140"/>
    </w:pPr>
    <w:rPr>
      <w:b/>
      <w:bCs/>
      <w:sz w:val="28"/>
      <w:szCs w:val="28"/>
    </w:rPr>
  </w:style>
  <w:style w:type="paragraph" w:styleId="ListParagraph">
    <w:name w:val="List Paragraph"/>
    <w:basedOn w:val="Normal"/>
    <w:uiPriority w:val="1"/>
    <w:qFormat/>
    <w:pPr>
      <w:ind w:left="567" w:hanging="428"/>
    </w:pPr>
  </w:style>
  <w:style w:type="paragraph" w:customStyle="1" w:styleId="TableParagraph">
    <w:name w:val="Table Paragraph"/>
    <w:basedOn w:val="Normal"/>
    <w:uiPriority w:val="1"/>
    <w:qFormat/>
    <w:pPr>
      <w:jc w:val="center"/>
    </w:pPr>
  </w:style>
  <w:style w:type="character" w:styleId="Hyperlink">
    <w:name w:val="Hyperlink"/>
    <w:basedOn w:val="DefaultParagraphFont"/>
    <w:uiPriority w:val="99"/>
    <w:unhideWhenUsed/>
    <w:rsid w:val="00D0326B"/>
    <w:rPr>
      <w:color w:val="0000FF" w:themeColor="hyperlink"/>
      <w:u w:val="single"/>
    </w:rPr>
  </w:style>
  <w:style w:type="paragraph" w:styleId="NormalWeb">
    <w:name w:val="Normal (Web)"/>
    <w:basedOn w:val="Normal"/>
    <w:uiPriority w:val="99"/>
    <w:unhideWhenUsed/>
    <w:qFormat/>
    <w:rsid w:val="00F528DC"/>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F528DC"/>
    <w:rPr>
      <w:b/>
      <w:bCs/>
    </w:rPr>
  </w:style>
  <w:style w:type="character" w:styleId="Emphasis">
    <w:name w:val="Emphasis"/>
    <w:uiPriority w:val="20"/>
    <w:qFormat/>
    <w:rsid w:val="00F528DC"/>
    <w:rPr>
      <w:i/>
      <w:iCs/>
    </w:rPr>
  </w:style>
  <w:style w:type="paragraph" w:styleId="NoSpacing">
    <w:name w:val="No Spacing"/>
    <w:link w:val="NoSpacingChar"/>
    <w:uiPriority w:val="1"/>
    <w:qFormat/>
    <w:rsid w:val="003D0997"/>
    <w:pPr>
      <w:widowControl/>
      <w:autoSpaceDE/>
      <w:autoSpaceDN/>
    </w:pPr>
    <w:rPr>
      <w:rFonts w:ascii="Calibri" w:eastAsia="Calibri" w:hAnsi="Calibri" w:cs="Times New Roman"/>
    </w:rPr>
  </w:style>
  <w:style w:type="character" w:customStyle="1" w:styleId="NoSpacingChar">
    <w:name w:val="No Spacing Char"/>
    <w:link w:val="NoSpacing"/>
    <w:uiPriority w:val="1"/>
    <w:locked/>
    <w:rsid w:val="003D0997"/>
    <w:rPr>
      <w:rFonts w:ascii="Calibri" w:eastAsia="Calibri" w:hAnsi="Calibri" w:cs="Times New Roman"/>
    </w:rPr>
  </w:style>
  <w:style w:type="paragraph" w:styleId="Header">
    <w:name w:val="header"/>
    <w:basedOn w:val="Normal"/>
    <w:link w:val="HeaderChar"/>
    <w:uiPriority w:val="99"/>
    <w:unhideWhenUsed/>
    <w:rsid w:val="003D0997"/>
    <w:pPr>
      <w:tabs>
        <w:tab w:val="center" w:pos="4680"/>
        <w:tab w:val="right" w:pos="9360"/>
      </w:tabs>
    </w:pPr>
  </w:style>
  <w:style w:type="character" w:customStyle="1" w:styleId="HeaderChar">
    <w:name w:val="Header Char"/>
    <w:basedOn w:val="DefaultParagraphFont"/>
    <w:link w:val="Header"/>
    <w:uiPriority w:val="99"/>
    <w:rsid w:val="003D0997"/>
    <w:rPr>
      <w:rFonts w:ascii="Palatino Linotype" w:eastAsia="Palatino Linotype" w:hAnsi="Palatino Linotype" w:cs="Palatino Linotype"/>
    </w:rPr>
  </w:style>
  <w:style w:type="paragraph" w:styleId="Footer">
    <w:name w:val="footer"/>
    <w:basedOn w:val="Normal"/>
    <w:link w:val="FooterChar"/>
    <w:uiPriority w:val="99"/>
    <w:unhideWhenUsed/>
    <w:rsid w:val="003D0997"/>
    <w:pPr>
      <w:tabs>
        <w:tab w:val="center" w:pos="4680"/>
        <w:tab w:val="right" w:pos="9360"/>
      </w:tabs>
    </w:pPr>
  </w:style>
  <w:style w:type="character" w:customStyle="1" w:styleId="FooterChar">
    <w:name w:val="Footer Char"/>
    <w:basedOn w:val="DefaultParagraphFont"/>
    <w:link w:val="Footer"/>
    <w:uiPriority w:val="99"/>
    <w:rsid w:val="003D0997"/>
    <w:rPr>
      <w:rFonts w:ascii="Palatino Linotype" w:eastAsia="Palatino Linotype" w:hAnsi="Palatino Linotype" w:cs="Palatino Linotype"/>
    </w:rPr>
  </w:style>
  <w:style w:type="character" w:customStyle="1" w:styleId="UnresolvedMention">
    <w:name w:val="Unresolved Mention"/>
    <w:basedOn w:val="DefaultParagraphFont"/>
    <w:uiPriority w:val="99"/>
    <w:semiHidden/>
    <w:unhideWhenUsed/>
    <w:rsid w:val="00726B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41883">
      <w:bodyDiv w:val="1"/>
      <w:marLeft w:val="0"/>
      <w:marRight w:val="0"/>
      <w:marTop w:val="0"/>
      <w:marBottom w:val="0"/>
      <w:divBdr>
        <w:top w:val="none" w:sz="0" w:space="0" w:color="auto"/>
        <w:left w:val="none" w:sz="0" w:space="0" w:color="auto"/>
        <w:bottom w:val="none" w:sz="0" w:space="0" w:color="auto"/>
        <w:right w:val="none" w:sz="0" w:space="0" w:color="auto"/>
      </w:divBdr>
    </w:div>
    <w:div w:id="173107365">
      <w:bodyDiv w:val="1"/>
      <w:marLeft w:val="0"/>
      <w:marRight w:val="0"/>
      <w:marTop w:val="0"/>
      <w:marBottom w:val="0"/>
      <w:divBdr>
        <w:top w:val="none" w:sz="0" w:space="0" w:color="auto"/>
        <w:left w:val="none" w:sz="0" w:space="0" w:color="auto"/>
        <w:bottom w:val="none" w:sz="0" w:space="0" w:color="auto"/>
        <w:right w:val="none" w:sz="0" w:space="0" w:color="auto"/>
      </w:divBdr>
    </w:div>
    <w:div w:id="337314556">
      <w:bodyDiv w:val="1"/>
      <w:marLeft w:val="0"/>
      <w:marRight w:val="0"/>
      <w:marTop w:val="0"/>
      <w:marBottom w:val="0"/>
      <w:divBdr>
        <w:top w:val="none" w:sz="0" w:space="0" w:color="auto"/>
        <w:left w:val="none" w:sz="0" w:space="0" w:color="auto"/>
        <w:bottom w:val="none" w:sz="0" w:space="0" w:color="auto"/>
        <w:right w:val="none" w:sz="0" w:space="0" w:color="auto"/>
      </w:divBdr>
    </w:div>
    <w:div w:id="662125599">
      <w:bodyDiv w:val="1"/>
      <w:marLeft w:val="0"/>
      <w:marRight w:val="0"/>
      <w:marTop w:val="0"/>
      <w:marBottom w:val="0"/>
      <w:divBdr>
        <w:top w:val="none" w:sz="0" w:space="0" w:color="auto"/>
        <w:left w:val="none" w:sz="0" w:space="0" w:color="auto"/>
        <w:bottom w:val="none" w:sz="0" w:space="0" w:color="auto"/>
        <w:right w:val="none" w:sz="0" w:space="0" w:color="auto"/>
      </w:divBdr>
    </w:div>
    <w:div w:id="847211396">
      <w:bodyDiv w:val="1"/>
      <w:marLeft w:val="0"/>
      <w:marRight w:val="0"/>
      <w:marTop w:val="0"/>
      <w:marBottom w:val="0"/>
      <w:divBdr>
        <w:top w:val="none" w:sz="0" w:space="0" w:color="auto"/>
        <w:left w:val="none" w:sz="0" w:space="0" w:color="auto"/>
        <w:bottom w:val="none" w:sz="0" w:space="0" w:color="auto"/>
        <w:right w:val="none" w:sz="0" w:space="0" w:color="auto"/>
      </w:divBdr>
    </w:div>
    <w:div w:id="862938616">
      <w:bodyDiv w:val="1"/>
      <w:marLeft w:val="0"/>
      <w:marRight w:val="0"/>
      <w:marTop w:val="0"/>
      <w:marBottom w:val="0"/>
      <w:divBdr>
        <w:top w:val="none" w:sz="0" w:space="0" w:color="auto"/>
        <w:left w:val="none" w:sz="0" w:space="0" w:color="auto"/>
        <w:bottom w:val="none" w:sz="0" w:space="0" w:color="auto"/>
        <w:right w:val="none" w:sz="0" w:space="0" w:color="auto"/>
      </w:divBdr>
    </w:div>
    <w:div w:id="1143429046">
      <w:bodyDiv w:val="1"/>
      <w:marLeft w:val="0"/>
      <w:marRight w:val="0"/>
      <w:marTop w:val="0"/>
      <w:marBottom w:val="0"/>
      <w:divBdr>
        <w:top w:val="none" w:sz="0" w:space="0" w:color="auto"/>
        <w:left w:val="none" w:sz="0" w:space="0" w:color="auto"/>
        <w:bottom w:val="none" w:sz="0" w:space="0" w:color="auto"/>
        <w:right w:val="none" w:sz="0" w:space="0" w:color="auto"/>
      </w:divBdr>
    </w:div>
    <w:div w:id="1164778327">
      <w:bodyDiv w:val="1"/>
      <w:marLeft w:val="0"/>
      <w:marRight w:val="0"/>
      <w:marTop w:val="0"/>
      <w:marBottom w:val="0"/>
      <w:divBdr>
        <w:top w:val="none" w:sz="0" w:space="0" w:color="auto"/>
        <w:left w:val="none" w:sz="0" w:space="0" w:color="auto"/>
        <w:bottom w:val="none" w:sz="0" w:space="0" w:color="auto"/>
        <w:right w:val="none" w:sz="0" w:space="0" w:color="auto"/>
      </w:divBdr>
    </w:div>
    <w:div w:id="1681080121">
      <w:bodyDiv w:val="1"/>
      <w:marLeft w:val="0"/>
      <w:marRight w:val="0"/>
      <w:marTop w:val="0"/>
      <w:marBottom w:val="0"/>
      <w:divBdr>
        <w:top w:val="none" w:sz="0" w:space="0" w:color="auto"/>
        <w:left w:val="none" w:sz="0" w:space="0" w:color="auto"/>
        <w:bottom w:val="none" w:sz="0" w:space="0" w:color="auto"/>
        <w:right w:val="none" w:sz="0" w:space="0" w:color="auto"/>
      </w:divBdr>
    </w:div>
    <w:div w:id="1908375149">
      <w:bodyDiv w:val="1"/>
      <w:marLeft w:val="0"/>
      <w:marRight w:val="0"/>
      <w:marTop w:val="0"/>
      <w:marBottom w:val="0"/>
      <w:divBdr>
        <w:top w:val="none" w:sz="0" w:space="0" w:color="auto"/>
        <w:left w:val="none" w:sz="0" w:space="0" w:color="auto"/>
        <w:bottom w:val="none" w:sz="0" w:space="0" w:color="auto"/>
        <w:right w:val="none" w:sz="0" w:space="0" w:color="auto"/>
      </w:divBdr>
    </w:div>
    <w:div w:id="21391067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13" Type="http://schemas.openxmlformats.org/officeDocument/2006/relationships/hyperlink" Target="http://dx.doi.org/10.30984/jii.v12i2.897" TargetMode="External"/><Relationship Id="rId18" Type="http://schemas.openxmlformats.org/officeDocument/2006/relationships/hyperlink" Target="https://doi.org/10.31004/jptam.v2i5.74" TargetMode="External"/><Relationship Id="rId26" Type="http://schemas.openxmlformats.org/officeDocument/2006/relationships/hyperlink" Target="https://doi.org/10.58578/anwarul.v3i4.1335" TargetMode="External"/><Relationship Id="rId3" Type="http://schemas.openxmlformats.org/officeDocument/2006/relationships/settings" Target="settings.xml"/><Relationship Id="rId21" Type="http://schemas.openxmlformats.org/officeDocument/2006/relationships/hyperlink" Target="https://doi.org/10.31004/aulad.v7i1.575" TargetMode="External"/><Relationship Id="rId7" Type="http://schemas.openxmlformats.org/officeDocument/2006/relationships/hyperlink" Target="mailto:q200230046@student.ums.ac.id" TargetMode="External"/><Relationship Id="rId12" Type="http://schemas.openxmlformats.org/officeDocument/2006/relationships/footer" Target="footer1.xml"/><Relationship Id="rId17" Type="http://schemas.openxmlformats.org/officeDocument/2006/relationships/hyperlink" Target="https://doi.org/10.30762/sittah.v2i2.3396" TargetMode="External"/><Relationship Id="rId25" Type="http://schemas.openxmlformats.org/officeDocument/2006/relationships/hyperlink" Target="http://dx.doi.org/10.29300/ijsse.v4i2.8228" TargetMode="External"/><Relationship Id="rId2" Type="http://schemas.openxmlformats.org/officeDocument/2006/relationships/styles" Target="styles.xml"/><Relationship Id="rId16" Type="http://schemas.openxmlformats.org/officeDocument/2006/relationships/hyperlink" Target="https://doi.org/10.24252/idaarah.v2i2.6808" TargetMode="External"/><Relationship Id="rId20" Type="http://schemas.openxmlformats.org/officeDocument/2006/relationships/hyperlink" Target="https://jurnal.widyahumaniora.org/index.php/jptwh/article/view/73"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https://j-innovative.org/index.php/Innovative/article/view/354" TargetMode="External"/><Relationship Id="rId5" Type="http://schemas.openxmlformats.org/officeDocument/2006/relationships/footnotes" Target="footnotes.xml"/><Relationship Id="rId15" Type="http://schemas.openxmlformats.org/officeDocument/2006/relationships/hyperlink" Target="https://doi.org/10.24252/idaarah.v2i2.6808" TargetMode="External"/><Relationship Id="rId23" Type="http://schemas.openxmlformats.org/officeDocument/2006/relationships/hyperlink" Target="https://doi.org/10.35473/jnctt.v4i1.919" TargetMode="External"/><Relationship Id="rId28" Type="http://schemas.openxmlformats.org/officeDocument/2006/relationships/header" Target="header2.xml"/><Relationship Id="rId10" Type="http://schemas.openxmlformats.org/officeDocument/2006/relationships/hyperlink" Target="mailto:q200230046@student.ums.ac.id" TargetMode="External"/><Relationship Id="rId19" Type="http://schemas.openxmlformats.org/officeDocument/2006/relationships/hyperlink" Target="http://dx.doi.org/10.24269/dpp.v9i1.3470"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doi.org/10.51169/ideguru.v4i1.66" TargetMode="External"/><Relationship Id="rId22" Type="http://schemas.openxmlformats.org/officeDocument/2006/relationships/hyperlink" Target="https://doi.org/10.31004/cdj.v3i3.6878" TargetMode="External"/><Relationship Id="rId27" Type="http://schemas.openxmlformats.org/officeDocument/2006/relationships/hyperlink" Target="https://doi.org/10.33084/anterior.v22i1.4197"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journal.staihubbulwathan.id/index.php/alishlah" TargetMode="External"/><Relationship Id="rId1" Type="http://schemas.openxmlformats.org/officeDocument/2006/relationships/hyperlink" Target="http://journal.staihubbulwathan.id/index.php/alishla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5110</Words>
  <Characters>29127</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keywords>, docId:F59DDC2998933021062C217CCCC141EC</cp:keywords>
  <cp:lastModifiedBy>Microsoft account</cp:lastModifiedBy>
  <cp:revision>9</cp:revision>
  <dcterms:created xsi:type="dcterms:W3CDTF">2025-01-21T15:41:00Z</dcterms:created>
  <dcterms:modified xsi:type="dcterms:W3CDTF">2025-01-21T15:53:00Z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2022-12-05T00:00:00Z</vt:filetime>
  </property>
  <property fmtid="{D5CDD505-2E9C-101B-9397-08002B2CF9AE}" pid="3" name="Creator">
    <vt:lpwstr>Microsoft® Word 2019</vt:lpwstr>
  </property>
  <property fmtid="{D5CDD505-2E9C-101B-9397-08002B2CF9AE}" pid="4" name="LastSaved">
    <vt:filetime>2023-04-17T00:00:00Z</vt:filetime>
  </property>
</Properties>
</file>