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47C7B" w14:textId="77777777" w:rsidR="00AF23E2" w:rsidRDefault="00000000">
      <w:pPr>
        <w:pStyle w:val="Alishlah12title"/>
      </w:pPr>
      <w:proofErr w:type="spellStart"/>
      <w:r>
        <w:rPr>
          <w:rFonts w:eastAsia="Palatino Linotype"/>
        </w:rPr>
        <w:t>Ujub</w:t>
      </w:r>
      <w:proofErr w:type="spellEnd"/>
      <w:r>
        <w:rPr>
          <w:rFonts w:eastAsia="Palatino Linotype"/>
        </w:rPr>
        <w:t xml:space="preserve"> </w:t>
      </w:r>
      <w:proofErr w:type="spellStart"/>
      <w:r>
        <w:rPr>
          <w:rFonts w:eastAsia="Palatino Linotype"/>
        </w:rPr>
        <w:t>Sesaji</w:t>
      </w:r>
      <w:proofErr w:type="spellEnd"/>
      <w:r>
        <w:rPr>
          <w:rFonts w:eastAsia="Palatino Linotype"/>
        </w:rPr>
        <w:t xml:space="preserve"> as a Vehicle of Character Education: A Thomas </w:t>
      </w:r>
      <w:proofErr w:type="spellStart"/>
      <w:r>
        <w:rPr>
          <w:rFonts w:eastAsia="Palatino Linotype"/>
        </w:rPr>
        <w:t>Lickona</w:t>
      </w:r>
      <w:proofErr w:type="spellEnd"/>
      <w:r>
        <w:rPr>
          <w:rFonts w:eastAsia="Palatino Linotype"/>
        </w:rPr>
        <w:t xml:space="preserve"> Perspective on Javanese Buddhist Puja Bakti in </w:t>
      </w:r>
      <w:proofErr w:type="spellStart"/>
      <w:r>
        <w:rPr>
          <w:rFonts w:eastAsia="Palatino Linotype"/>
        </w:rPr>
        <w:t>Boyolali</w:t>
      </w:r>
      <w:proofErr w:type="spellEnd"/>
      <w:r>
        <w:rPr>
          <w:rFonts w:eastAsia="Palatino Linotype"/>
        </w:rPr>
        <w:t xml:space="preserve"> Regency</w:t>
      </w:r>
    </w:p>
    <w:p w14:paraId="03F84FBB" w14:textId="77777777" w:rsidR="00AF23E2" w:rsidRDefault="00000000">
      <w:pPr>
        <w:pStyle w:val="Alishlah13authornames"/>
        <w:rPr>
          <w:vertAlign w:val="superscript"/>
          <w:lang w:val="en-GB"/>
        </w:rPr>
      </w:pPr>
      <w:r>
        <w:rPr>
          <w:rFonts w:eastAsia="Palatino Linotype"/>
        </w:rPr>
        <w:t>Niken Wardani</w:t>
      </w:r>
      <w:r>
        <w:rPr>
          <w:rFonts w:eastAsia="Palatino Linotype"/>
          <w:vertAlign w:val="superscript"/>
        </w:rPr>
        <w:t>1</w:t>
      </w:r>
    </w:p>
    <w:p w14:paraId="681772A0" w14:textId="77777777" w:rsidR="00AF23E2" w:rsidRDefault="00000000">
      <w:pPr>
        <w:pStyle w:val="Alishlah16affiliation"/>
        <w:rPr>
          <w:color w:val="auto"/>
          <w:lang w:val="en-GB"/>
        </w:rPr>
      </w:pPr>
      <w:r>
        <w:rPr>
          <w:rFonts w:eastAsia="Palatino Linotype"/>
          <w:vertAlign w:val="superscript"/>
        </w:rPr>
        <w:t>1</w:t>
      </w:r>
      <w:r>
        <w:rPr>
          <w:rFonts w:eastAsia="Palatino Linotype"/>
        </w:rPr>
        <w:t>STABN Raden Wijaya Wonogiri; nikenravati@gmail.com</w:t>
      </w:r>
    </w:p>
    <w:p w14:paraId="66955F15" w14:textId="77777777" w:rsidR="00AF23E2" w:rsidRDefault="00AF23E2">
      <w:pPr>
        <w:pStyle w:val="Alishlah16affiliation"/>
        <w:rPr>
          <w:color w:val="auto"/>
          <w:lang w:val="en-GB"/>
        </w:rPr>
      </w:pPr>
    </w:p>
    <w:tbl>
      <w:tblPr>
        <w:tblStyle w:val="TableGrid"/>
        <w:tblW w:w="8845" w:type="dxa"/>
        <w:jc w:val="center"/>
        <w:tblLayout w:type="fixed"/>
        <w:tblLook w:val="04A0" w:firstRow="1" w:lastRow="0" w:firstColumn="1" w:lastColumn="0" w:noHBand="0" w:noVBand="1"/>
      </w:tblPr>
      <w:tblGrid>
        <w:gridCol w:w="2787"/>
        <w:gridCol w:w="282"/>
        <w:gridCol w:w="5776"/>
      </w:tblGrid>
      <w:tr w:rsidR="00AF23E2" w14:paraId="402E1F72" w14:textId="77777777">
        <w:trPr>
          <w:jc w:val="center"/>
        </w:trPr>
        <w:tc>
          <w:tcPr>
            <w:tcW w:w="2787" w:type="dxa"/>
            <w:tcBorders>
              <w:top w:val="double" w:sz="4" w:space="0" w:color="000000"/>
              <w:left w:val="nil"/>
              <w:right w:val="nil"/>
            </w:tcBorders>
          </w:tcPr>
          <w:p w14:paraId="0B6D853E" w14:textId="77777777" w:rsidR="00AF23E2" w:rsidRDefault="00000000">
            <w:r>
              <w:rPr>
                <w:rFonts w:ascii="Palatino Linotype" w:eastAsia="Palatino Linotype" w:hAnsi="Palatino Linotype"/>
                <w:b/>
              </w:rPr>
              <w:t>ARTICLE INFO</w:t>
            </w:r>
          </w:p>
        </w:tc>
        <w:tc>
          <w:tcPr>
            <w:tcW w:w="282" w:type="dxa"/>
            <w:tcBorders>
              <w:top w:val="double" w:sz="4" w:space="0" w:color="000000"/>
              <w:left w:val="nil"/>
              <w:bottom w:val="nil"/>
              <w:right w:val="nil"/>
            </w:tcBorders>
          </w:tcPr>
          <w:p w14:paraId="039D627C" w14:textId="77777777" w:rsidR="00AF23E2" w:rsidRDefault="00AF23E2">
            <w:pPr>
              <w:spacing w:before="120" w:after="0" w:line="240" w:lineRule="auto"/>
              <w:jc w:val="center"/>
              <w:rPr>
                <w:rFonts w:ascii="Palatino Linotype" w:hAnsi="Palatino Linotype" w:hint="eastAsia"/>
              </w:rPr>
            </w:pPr>
          </w:p>
        </w:tc>
        <w:tc>
          <w:tcPr>
            <w:tcW w:w="5776" w:type="dxa"/>
            <w:tcBorders>
              <w:top w:val="double" w:sz="4" w:space="0" w:color="000000"/>
              <w:left w:val="nil"/>
              <w:right w:val="nil"/>
            </w:tcBorders>
          </w:tcPr>
          <w:p w14:paraId="47D7E30C" w14:textId="77777777" w:rsidR="00AF23E2" w:rsidRDefault="00000000">
            <w:r>
              <w:rPr>
                <w:rFonts w:ascii="Palatino Linotype" w:eastAsia="Palatino Linotype" w:hAnsi="Palatino Linotype"/>
                <w:b/>
              </w:rPr>
              <w:t>ABSTRACT</w:t>
            </w:r>
          </w:p>
        </w:tc>
      </w:tr>
      <w:tr w:rsidR="00AF23E2" w14:paraId="10261145" w14:textId="77777777">
        <w:trPr>
          <w:trHeight w:val="1268"/>
          <w:jc w:val="center"/>
        </w:trPr>
        <w:tc>
          <w:tcPr>
            <w:tcW w:w="2787" w:type="dxa"/>
            <w:tcBorders>
              <w:left w:val="nil"/>
              <w:right w:val="nil"/>
            </w:tcBorders>
          </w:tcPr>
          <w:p w14:paraId="44793B52" w14:textId="77777777" w:rsidR="00AF23E2" w:rsidRDefault="00000000">
            <w:r>
              <w:rPr>
                <w:rFonts w:ascii="Palatino Linotype" w:eastAsia="Palatino Linotype" w:hAnsi="Palatino Linotype"/>
                <w:b/>
                <w:i/>
              </w:rPr>
              <w:t>Keywords:</w:t>
            </w:r>
          </w:p>
          <w:p w14:paraId="79E589A2" w14:textId="642F38FD" w:rsidR="00AF23E2" w:rsidRDefault="006F062E">
            <w:pPr>
              <w:pStyle w:val="Alishlah18keywords"/>
            </w:pPr>
            <w:r>
              <w:rPr>
                <w:rFonts w:eastAsia="Palatino Linotype"/>
              </w:rPr>
              <w:t>C</w:t>
            </w:r>
            <w:r w:rsidR="00000000">
              <w:rPr>
                <w:rFonts w:eastAsia="Palatino Linotype"/>
              </w:rPr>
              <w:t>haracter education;</w:t>
            </w:r>
          </w:p>
          <w:p w14:paraId="75DE0BAD" w14:textId="77777777" w:rsidR="00AF23E2" w:rsidRDefault="00000000">
            <w:pPr>
              <w:pStyle w:val="Alishlah18keywords"/>
            </w:pPr>
            <w:r>
              <w:rPr>
                <w:rFonts w:eastAsia="Palatino Linotype"/>
              </w:rPr>
              <w:t>Thomas Lickona;</w:t>
            </w:r>
          </w:p>
          <w:p w14:paraId="6272E78D" w14:textId="77777777" w:rsidR="00AF23E2" w:rsidRDefault="00000000">
            <w:pPr>
              <w:pStyle w:val="Alishlah18keywords"/>
            </w:pPr>
            <w:proofErr w:type="spellStart"/>
            <w:r>
              <w:rPr>
                <w:rFonts w:eastAsia="Palatino Linotype"/>
              </w:rPr>
              <w:t>Ujub</w:t>
            </w:r>
            <w:proofErr w:type="spellEnd"/>
            <w:r>
              <w:rPr>
                <w:rFonts w:eastAsia="Palatino Linotype"/>
              </w:rPr>
              <w:t xml:space="preserve"> </w:t>
            </w:r>
            <w:proofErr w:type="spellStart"/>
            <w:r>
              <w:rPr>
                <w:rFonts w:eastAsia="Palatino Linotype"/>
              </w:rPr>
              <w:t>Sesaji</w:t>
            </w:r>
            <w:proofErr w:type="spellEnd"/>
            <w:r>
              <w:rPr>
                <w:rFonts w:eastAsia="Palatino Linotype"/>
              </w:rPr>
              <w:t>;</w:t>
            </w:r>
          </w:p>
          <w:p w14:paraId="6D2A083A" w14:textId="77777777" w:rsidR="00AF23E2" w:rsidRDefault="00000000">
            <w:pPr>
              <w:pStyle w:val="Alishlah18keywords"/>
            </w:pPr>
            <w:r>
              <w:rPr>
                <w:rFonts w:eastAsia="Palatino Linotype"/>
              </w:rPr>
              <w:t>Javanese Buddhism;</w:t>
            </w:r>
          </w:p>
          <w:p w14:paraId="008A8A84" w14:textId="77777777" w:rsidR="00AF23E2" w:rsidRDefault="00000000">
            <w:pPr>
              <w:pStyle w:val="Alishlah18keywords"/>
            </w:pPr>
            <w:r>
              <w:rPr>
                <w:rFonts w:eastAsia="Palatino Linotype"/>
              </w:rPr>
              <w:t>Puja Bakti</w:t>
            </w:r>
          </w:p>
        </w:tc>
        <w:tc>
          <w:tcPr>
            <w:tcW w:w="282" w:type="dxa"/>
            <w:vMerge w:val="restart"/>
            <w:tcBorders>
              <w:top w:val="nil"/>
              <w:left w:val="nil"/>
              <w:bottom w:val="nil"/>
              <w:right w:val="nil"/>
            </w:tcBorders>
          </w:tcPr>
          <w:p w14:paraId="5DF09DBA" w14:textId="77777777" w:rsidR="00AF23E2" w:rsidRDefault="00AF23E2">
            <w:pPr>
              <w:spacing w:before="120" w:after="0" w:line="240" w:lineRule="auto"/>
              <w:jc w:val="both"/>
              <w:rPr>
                <w:rFonts w:ascii="Palatino Linotype" w:hAnsi="Palatino Linotype" w:hint="eastAsia"/>
                <w:sz w:val="18"/>
                <w:szCs w:val="18"/>
              </w:rPr>
            </w:pPr>
          </w:p>
        </w:tc>
        <w:tc>
          <w:tcPr>
            <w:tcW w:w="5776" w:type="dxa"/>
            <w:vMerge w:val="restart"/>
            <w:tcBorders>
              <w:left w:val="nil"/>
              <w:bottom w:val="nil"/>
              <w:right w:val="nil"/>
            </w:tcBorders>
          </w:tcPr>
          <w:p w14:paraId="72DFD61D" w14:textId="77777777" w:rsidR="00AF23E2" w:rsidRDefault="00000000">
            <w:pPr>
              <w:pStyle w:val="Alishlah17abstract"/>
            </w:pPr>
            <w:r>
              <w:rPr>
                <w:rFonts w:eastAsia="Palatino Linotype"/>
              </w:rPr>
              <w:t xml:space="preserve">Character education embedded in indigenous religious ritual remains underexplored, particularly within syncretic Javanese Buddhist communities. This study examines the pedagogical function of the </w:t>
            </w:r>
            <w:proofErr w:type="spellStart"/>
            <w:r>
              <w:rPr>
                <w:rFonts w:eastAsia="Palatino Linotype"/>
              </w:rPr>
              <w:t>Ujub</w:t>
            </w:r>
            <w:proofErr w:type="spellEnd"/>
            <w:r>
              <w:rPr>
                <w:rFonts w:eastAsia="Palatino Linotype"/>
              </w:rPr>
              <w:t xml:space="preserve"> </w:t>
            </w:r>
            <w:proofErr w:type="spellStart"/>
            <w:r>
              <w:rPr>
                <w:rFonts w:eastAsia="Palatino Linotype"/>
              </w:rPr>
              <w:t>Sesaji</w:t>
            </w:r>
            <w:proofErr w:type="spellEnd"/>
            <w:r>
              <w:rPr>
                <w:rFonts w:eastAsia="Palatino Linotype"/>
              </w:rPr>
              <w:t xml:space="preserve"> ritual in Javanese-language Puja Bakti among Buddhists in </w:t>
            </w:r>
            <w:proofErr w:type="spellStart"/>
            <w:r>
              <w:rPr>
                <w:rFonts w:eastAsia="Palatino Linotype"/>
              </w:rPr>
              <w:t>Boyolali</w:t>
            </w:r>
            <w:proofErr w:type="spellEnd"/>
            <w:r>
              <w:rPr>
                <w:rFonts w:eastAsia="Palatino Linotype"/>
              </w:rPr>
              <w:t xml:space="preserve"> Regency, Indonesia, using Thomas Lickona's tripartite framework of moral knowing, moral feeling, and moral action. Employing a qualitative descriptive-hermeneutic design, the study draws on participant observation, semi-structured interviews, and interpretation of ritual texts, verbal formulas, and symbolic offerings. The findings show that </w:t>
            </w:r>
            <w:proofErr w:type="spellStart"/>
            <w:r>
              <w:rPr>
                <w:rFonts w:eastAsia="Palatino Linotype"/>
              </w:rPr>
              <w:t>Ujub</w:t>
            </w:r>
            <w:proofErr w:type="spellEnd"/>
            <w:r>
              <w:rPr>
                <w:rFonts w:eastAsia="Palatino Linotype"/>
              </w:rPr>
              <w:t xml:space="preserve"> </w:t>
            </w:r>
            <w:proofErr w:type="spellStart"/>
            <w:r>
              <w:rPr>
                <w:rFonts w:eastAsia="Palatino Linotype"/>
              </w:rPr>
              <w:t>Sesaji</w:t>
            </w:r>
            <w:proofErr w:type="spellEnd"/>
            <w:r>
              <w:rPr>
                <w:rFonts w:eastAsia="Palatino Linotype"/>
              </w:rPr>
              <w:t xml:space="preserve"> operates as an integrated moral curriculum: symbolic offerings cultivate moral cognition; Javanese recitation and communal participation intensify gratitude, reverence, compassion, and humility; and repeated ritual practice habituates sincerity, cooperation, discipline, and intergenerational responsibility. The study extends </w:t>
            </w:r>
            <w:proofErr w:type="spellStart"/>
            <w:r>
              <w:rPr>
                <w:rFonts w:eastAsia="Palatino Linotype"/>
              </w:rPr>
              <w:t>Lickona's</w:t>
            </w:r>
            <w:proofErr w:type="spellEnd"/>
            <w:r>
              <w:rPr>
                <w:rFonts w:eastAsia="Palatino Linotype"/>
              </w:rPr>
              <w:t xml:space="preserve"> model beyond school-based settings and demonstrates that local Buddhist-Javanese ritual can function as a culturally grounded vehicle of character education. It also supports Indonesia's Character Education Strengthening agenda by showing how living religious traditions may enrich non-formal and community-based moral formation.</w:t>
            </w:r>
          </w:p>
        </w:tc>
      </w:tr>
      <w:tr w:rsidR="00AF23E2" w14:paraId="20458ED6" w14:textId="77777777">
        <w:trPr>
          <w:trHeight w:val="1231"/>
          <w:jc w:val="center"/>
        </w:trPr>
        <w:tc>
          <w:tcPr>
            <w:tcW w:w="2787" w:type="dxa"/>
            <w:vMerge w:val="restart"/>
            <w:tcBorders>
              <w:left w:val="nil"/>
              <w:right w:val="nil"/>
            </w:tcBorders>
          </w:tcPr>
          <w:p w14:paraId="1F714BED" w14:textId="77777777" w:rsidR="00AF23E2" w:rsidRDefault="00000000">
            <w:r>
              <w:rPr>
                <w:rFonts w:ascii="Palatino Linotype" w:eastAsia="Palatino Linotype" w:hAnsi="Palatino Linotype"/>
                <w:b/>
                <w:i/>
              </w:rPr>
              <w:t>Article history:</w:t>
            </w:r>
          </w:p>
          <w:p w14:paraId="587A7DFD" w14:textId="77777777" w:rsidR="00AF23E2" w:rsidRDefault="00000000">
            <w:pPr>
              <w:pStyle w:val="Alishlah14history"/>
            </w:pPr>
            <w:r>
              <w:rPr>
                <w:rFonts w:eastAsia="Palatino Linotype"/>
              </w:rPr>
              <w:t>Received: —</w:t>
            </w:r>
          </w:p>
          <w:p w14:paraId="6E404A45" w14:textId="77777777" w:rsidR="00AF23E2" w:rsidRDefault="00000000">
            <w:pPr>
              <w:pStyle w:val="Alishlah14history"/>
            </w:pPr>
            <w:r>
              <w:rPr>
                <w:rFonts w:eastAsia="Palatino Linotype"/>
              </w:rPr>
              <w:t>Revised: —</w:t>
            </w:r>
          </w:p>
          <w:p w14:paraId="336E2078" w14:textId="77777777" w:rsidR="00AF23E2" w:rsidRDefault="00000000">
            <w:pPr>
              <w:pStyle w:val="Alishlah14history"/>
            </w:pPr>
            <w:r>
              <w:rPr>
                <w:rFonts w:eastAsia="Palatino Linotype"/>
              </w:rPr>
              <w:t>Accepted: —</w:t>
            </w:r>
          </w:p>
        </w:tc>
        <w:tc>
          <w:tcPr>
            <w:tcW w:w="282" w:type="dxa"/>
            <w:vMerge/>
            <w:tcBorders>
              <w:top w:val="nil"/>
              <w:left w:val="nil"/>
              <w:bottom w:val="nil"/>
              <w:right w:val="nil"/>
            </w:tcBorders>
          </w:tcPr>
          <w:p w14:paraId="22E0688C" w14:textId="77777777" w:rsidR="00AF23E2" w:rsidRDefault="00AF23E2">
            <w:pPr>
              <w:spacing w:before="120" w:after="0" w:line="240" w:lineRule="auto"/>
              <w:jc w:val="both"/>
              <w:rPr>
                <w:rFonts w:ascii="Palatino Linotype" w:hAnsi="Palatino Linotype" w:hint="eastAsia"/>
              </w:rPr>
            </w:pPr>
          </w:p>
        </w:tc>
        <w:tc>
          <w:tcPr>
            <w:tcW w:w="5776" w:type="dxa"/>
            <w:vMerge/>
            <w:tcBorders>
              <w:top w:val="nil"/>
              <w:left w:val="nil"/>
              <w:bottom w:val="nil"/>
              <w:right w:val="nil"/>
            </w:tcBorders>
          </w:tcPr>
          <w:p w14:paraId="16178B3E" w14:textId="77777777" w:rsidR="00AF23E2" w:rsidRDefault="00AF23E2">
            <w:pPr>
              <w:spacing w:before="120" w:after="0" w:line="240" w:lineRule="auto"/>
              <w:jc w:val="both"/>
              <w:rPr>
                <w:rFonts w:ascii="Palatino Linotype" w:hAnsi="Palatino Linotype" w:hint="eastAsia"/>
                <w:iCs/>
                <w:color w:val="000000"/>
                <w:sz w:val="18"/>
                <w:szCs w:val="18"/>
              </w:rPr>
            </w:pPr>
          </w:p>
        </w:tc>
      </w:tr>
      <w:tr w:rsidR="00AF23E2" w14:paraId="0A8EE1BE" w14:textId="77777777">
        <w:trPr>
          <w:trHeight w:val="70"/>
          <w:jc w:val="center"/>
        </w:trPr>
        <w:tc>
          <w:tcPr>
            <w:tcW w:w="2787" w:type="dxa"/>
            <w:vMerge/>
            <w:tcBorders>
              <w:left w:val="nil"/>
              <w:right w:val="nil"/>
            </w:tcBorders>
          </w:tcPr>
          <w:p w14:paraId="27855BE5" w14:textId="77777777" w:rsidR="00AF23E2" w:rsidRDefault="00AF23E2">
            <w:pPr>
              <w:spacing w:before="120" w:after="120" w:line="240" w:lineRule="auto"/>
              <w:jc w:val="both"/>
              <w:rPr>
                <w:rFonts w:ascii="Palatino Linotype" w:hAnsi="Palatino Linotype" w:hint="eastAsia"/>
                <w:b/>
                <w:i/>
              </w:rPr>
            </w:pPr>
          </w:p>
        </w:tc>
        <w:tc>
          <w:tcPr>
            <w:tcW w:w="282" w:type="dxa"/>
            <w:vMerge/>
            <w:tcBorders>
              <w:top w:val="nil"/>
              <w:left w:val="nil"/>
              <w:bottom w:val="nil"/>
              <w:right w:val="nil"/>
            </w:tcBorders>
          </w:tcPr>
          <w:p w14:paraId="422323DA" w14:textId="77777777" w:rsidR="00AF23E2" w:rsidRDefault="00AF23E2">
            <w:pPr>
              <w:spacing w:before="120" w:after="0" w:line="240" w:lineRule="auto"/>
              <w:jc w:val="both"/>
              <w:rPr>
                <w:rFonts w:ascii="Palatino Linotype" w:hAnsi="Palatino Linotype" w:hint="eastAsia"/>
              </w:rPr>
            </w:pPr>
          </w:p>
        </w:tc>
        <w:tc>
          <w:tcPr>
            <w:tcW w:w="5776" w:type="dxa"/>
            <w:tcBorders>
              <w:top w:val="nil"/>
              <w:left w:val="nil"/>
              <w:right w:val="nil"/>
            </w:tcBorders>
          </w:tcPr>
          <w:p w14:paraId="59233CDB" w14:textId="77777777" w:rsidR="00AF23E2" w:rsidRDefault="00000000">
            <w:pPr>
              <w:spacing w:before="120" w:after="120" w:line="240" w:lineRule="auto"/>
              <w:jc w:val="right"/>
              <w:rPr>
                <w:rFonts w:ascii="Palatino Linotype" w:hAnsi="Palatino Linotype" w:hint="eastAsia"/>
                <w:i/>
                <w:iCs/>
                <w:color w:val="000000"/>
                <w:sz w:val="18"/>
                <w:szCs w:val="18"/>
              </w:rPr>
            </w:pPr>
            <w:r>
              <w:rPr>
                <w:rFonts w:ascii="Palatino Linotype" w:hAnsi="Palatino Linotype" w:cs="Arial"/>
                <w:i/>
                <w:iCs/>
                <w:color w:val="000000"/>
                <w:sz w:val="18"/>
                <w:szCs w:val="18"/>
                <w:lang w:val="en-US"/>
              </w:rPr>
              <w:t xml:space="preserve">This is an open access article under the </w:t>
            </w:r>
            <w:hyperlink r:id="rId8">
              <w:r>
                <w:rPr>
                  <w:rStyle w:val="Hyperlink"/>
                  <w:rFonts w:ascii="Palatino Linotype" w:hAnsi="Palatino Linotype" w:cs="Arial"/>
                  <w:i/>
                  <w:iCs/>
                  <w:sz w:val="18"/>
                  <w:szCs w:val="18"/>
                  <w:lang w:val="en-US"/>
                </w:rPr>
                <w:t>CC BY-NC-SA</w:t>
              </w:r>
            </w:hyperlink>
            <w:r>
              <w:rPr>
                <w:rFonts w:ascii="Palatino Linotype" w:hAnsi="Palatino Linotype" w:cs="Arial"/>
                <w:i/>
                <w:iCs/>
                <w:color w:val="000000"/>
                <w:sz w:val="18"/>
                <w:szCs w:val="18"/>
                <w:lang w:val="en-US"/>
              </w:rPr>
              <w:t xml:space="preserve"> license.</w:t>
            </w:r>
          </w:p>
          <w:p w14:paraId="37E29585" w14:textId="77777777" w:rsidR="00AF23E2" w:rsidRDefault="00000000">
            <w:pPr>
              <w:spacing w:before="120" w:after="120" w:line="240" w:lineRule="auto"/>
              <w:jc w:val="right"/>
              <w:rPr>
                <w:rFonts w:ascii="Palatino Linotype" w:hAnsi="Palatino Linotype" w:hint="eastAsia"/>
                <w:i/>
                <w:iCs/>
                <w:color w:val="000000"/>
                <w:sz w:val="18"/>
                <w:szCs w:val="18"/>
              </w:rPr>
            </w:pPr>
            <w:r>
              <w:rPr>
                <w:rFonts w:cs="Arial"/>
                <w:noProof/>
                <w:lang w:val="en-US"/>
              </w:rPr>
              <w:drawing>
                <wp:inline distT="0" distB="0" distL="0" distR="0" wp14:anchorId="035D1632" wp14:editId="252928AC">
                  <wp:extent cx="1054735" cy="371475"/>
                  <wp:effectExtent l="0" t="0" r="0" b="0"/>
                  <wp:docPr id="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1"/>
                          <pic:cNvPicPr>
                            <a:picLocks noChangeAspect="1" noChangeArrowheads="1"/>
                          </pic:cNvPicPr>
                        </pic:nvPicPr>
                        <pic:blipFill>
                          <a:blip r:embed="rId9"/>
                          <a:stretch>
                            <a:fillRect/>
                          </a:stretch>
                        </pic:blipFill>
                        <pic:spPr bwMode="auto">
                          <a:xfrm>
                            <a:off x="0" y="0"/>
                            <a:ext cx="1054735" cy="371475"/>
                          </a:xfrm>
                          <a:prstGeom prst="rect">
                            <a:avLst/>
                          </a:prstGeom>
                          <a:noFill/>
                        </pic:spPr>
                      </pic:pic>
                    </a:graphicData>
                  </a:graphic>
                </wp:inline>
              </w:drawing>
            </w:r>
          </w:p>
        </w:tc>
      </w:tr>
      <w:tr w:rsidR="00AF23E2" w14:paraId="279C76D3" w14:textId="77777777">
        <w:trPr>
          <w:jc w:val="center"/>
        </w:trPr>
        <w:tc>
          <w:tcPr>
            <w:tcW w:w="8845" w:type="dxa"/>
            <w:gridSpan w:val="3"/>
            <w:tcBorders>
              <w:top w:val="nil"/>
              <w:left w:val="nil"/>
              <w:bottom w:val="double" w:sz="4" w:space="0" w:color="000000"/>
              <w:right w:val="nil"/>
            </w:tcBorders>
          </w:tcPr>
          <w:p w14:paraId="2676E202" w14:textId="77777777" w:rsidR="00AF23E2" w:rsidRDefault="00000000">
            <w:pPr>
              <w:pStyle w:val="Alishlah16affiliation"/>
            </w:pPr>
            <w:r>
              <w:rPr>
                <w:rFonts w:eastAsia="Palatino Linotype"/>
                <w:b/>
              </w:rPr>
              <w:t>Corresponding Author:</w:t>
            </w:r>
          </w:p>
          <w:p w14:paraId="39C9321B" w14:textId="77777777" w:rsidR="00AF23E2" w:rsidRDefault="00000000">
            <w:pPr>
              <w:pStyle w:val="Alishlah2authorcorrespondence"/>
            </w:pPr>
            <w:r>
              <w:rPr>
                <w:rFonts w:eastAsia="Palatino Linotype"/>
              </w:rPr>
              <w:t>Niken Wardani</w:t>
            </w:r>
          </w:p>
          <w:p w14:paraId="7694054E" w14:textId="77777777" w:rsidR="00AF23E2" w:rsidRDefault="00000000">
            <w:pPr>
              <w:pStyle w:val="Alishlah2authorcorrespondence"/>
            </w:pPr>
            <w:r>
              <w:rPr>
                <w:rFonts w:eastAsia="Palatino Linotype"/>
              </w:rPr>
              <w:t>STABN Raden Wijaya Wonogiri; nikenravati@gmail.com</w:t>
            </w:r>
          </w:p>
        </w:tc>
      </w:tr>
    </w:tbl>
    <w:p w14:paraId="38874F4D" w14:textId="77777777" w:rsidR="00AF23E2" w:rsidRDefault="00000000">
      <w:pPr>
        <w:pStyle w:val="Alishlah21heading1"/>
      </w:pPr>
      <w:r>
        <w:rPr>
          <w:rFonts w:eastAsia="Palatino Linotype"/>
        </w:rPr>
        <w:t>INTRODUCTION</w:t>
      </w:r>
    </w:p>
    <w:p w14:paraId="39F9FDDC" w14:textId="77777777" w:rsidR="00AF23E2" w:rsidRDefault="00000000">
      <w:pPr>
        <w:pStyle w:val="Alishlah31text"/>
      </w:pPr>
      <w:r>
        <w:rPr>
          <w:rFonts w:eastAsia="Palatino Linotype"/>
        </w:rPr>
        <w:t xml:space="preserve">Character education has become a major concern in contemporary educational discourse as societies face accelerated globalization, digital disruption, and weakening communal bonds. Within this context, moral education cannot be reduced to the transmission of rules or cognitive instruction alone. It requires lived experiences that enable learners to understand values, feel their ethical force, and enact them consistently in social life. Recent studies on character education show that local wisdom, cultural practice, and community-based learning have become increasingly important </w:t>
      </w:r>
      <w:r>
        <w:rPr>
          <w:rFonts w:eastAsia="Palatino Linotype"/>
        </w:rPr>
        <w:lastRenderedPageBreak/>
        <w:t>clusters in educational research, particularly because they offer morally meaningful contexts close to people's everyday lives (</w:t>
      </w:r>
      <w:proofErr w:type="spellStart"/>
      <w:r>
        <w:rPr>
          <w:rFonts w:eastAsia="Palatino Linotype"/>
        </w:rPr>
        <w:t>Aulia</w:t>
      </w:r>
      <w:proofErr w:type="spellEnd"/>
      <w:r>
        <w:rPr>
          <w:rFonts w:eastAsia="Palatino Linotype"/>
        </w:rPr>
        <w:t xml:space="preserve"> &amp; </w:t>
      </w:r>
      <w:proofErr w:type="spellStart"/>
      <w:r>
        <w:rPr>
          <w:rFonts w:eastAsia="Palatino Linotype"/>
        </w:rPr>
        <w:t>Anshory</w:t>
      </w:r>
      <w:proofErr w:type="spellEnd"/>
      <w:r>
        <w:rPr>
          <w:rFonts w:eastAsia="Palatino Linotype"/>
        </w:rPr>
        <w:t xml:space="preserve">, 2025; </w:t>
      </w:r>
      <w:proofErr w:type="spellStart"/>
      <w:r>
        <w:rPr>
          <w:rFonts w:eastAsia="Palatino Linotype"/>
        </w:rPr>
        <w:t>Ruswinarsih</w:t>
      </w:r>
      <w:proofErr w:type="spellEnd"/>
      <w:r>
        <w:rPr>
          <w:rFonts w:eastAsia="Palatino Linotype"/>
        </w:rPr>
        <w:t xml:space="preserve"> et al., 2025).</w:t>
      </w:r>
    </w:p>
    <w:p w14:paraId="468CC64D" w14:textId="77777777" w:rsidR="00AF23E2" w:rsidRDefault="00000000">
      <w:pPr>
        <w:pStyle w:val="Alishlah31text"/>
      </w:pPr>
      <w:r>
        <w:rPr>
          <w:rFonts w:eastAsia="Palatino Linotype"/>
        </w:rPr>
        <w:t xml:space="preserve">Thomas Lickona's theory of character education remains one of the most influential frameworks for analyzing this integrated process. </w:t>
      </w:r>
      <w:proofErr w:type="spellStart"/>
      <w:r>
        <w:rPr>
          <w:rFonts w:eastAsia="Palatino Linotype"/>
        </w:rPr>
        <w:t>Lickona</w:t>
      </w:r>
      <w:proofErr w:type="spellEnd"/>
      <w:r>
        <w:rPr>
          <w:rFonts w:eastAsia="Palatino Linotype"/>
        </w:rPr>
        <w:t xml:space="preserve"> (1992) argues that character is formed through three mutually reinforcing dimensions: moral knowing, moral feeling, and moral action. Moral knowing refers to ethical awareness, value comprehension, perspective-taking, moral reasoning, decision-making, and self-knowledge. Moral feeling concerns conscience, empathy, humility, self-respect, self-control, and the love of goodness. Moral action refers to the competence, will, and habit through which moral commitments become visible behavior. The strength of this framework lies in its refusal to separate cognition, emotion, and practice.</w:t>
      </w:r>
    </w:p>
    <w:p w14:paraId="21A04899" w14:textId="77777777" w:rsidR="00AF23E2" w:rsidRDefault="00000000">
      <w:pPr>
        <w:pStyle w:val="Alishlah31text"/>
      </w:pPr>
      <w:r>
        <w:rPr>
          <w:rFonts w:eastAsia="Palatino Linotype"/>
        </w:rPr>
        <w:t>However, much character education research remains concentrated on formal schooling and classroom-based pedagogy. This focus is useful but incomplete. Moral formation also takes place in non-formal spaces such as religious rituals, family ceremonies, communal worship, and cultural traditions. These spaces do not teach values only through explanation; they also teach through symbols, affect, repetition, bodily discipline, social participation, and intergenerational memory. For this reason, ritual offers a particularly rich site for examining how character is formed in culturally embedded ways.</w:t>
      </w:r>
    </w:p>
    <w:p w14:paraId="1D0DDA25" w14:textId="77777777" w:rsidR="00AF23E2" w:rsidRDefault="00000000">
      <w:pPr>
        <w:pStyle w:val="Alishlah31text"/>
      </w:pPr>
      <w:r>
        <w:rPr>
          <w:rFonts w:eastAsia="Palatino Linotype"/>
        </w:rPr>
        <w:t>The growing literature on local wisdom and character education confirms this direction. Bibliometric and systematic studies indicate that local culture is increasingly recognized as a resource for moral resilience and cultural identity (</w:t>
      </w:r>
      <w:proofErr w:type="spellStart"/>
      <w:r>
        <w:rPr>
          <w:rFonts w:eastAsia="Palatino Linotype"/>
        </w:rPr>
        <w:t>Arjaya</w:t>
      </w:r>
      <w:proofErr w:type="spellEnd"/>
      <w:r>
        <w:rPr>
          <w:rFonts w:eastAsia="Palatino Linotype"/>
        </w:rPr>
        <w:t xml:space="preserve"> et al., 2024; Rahmawati, 2025; Sakti et al., 2024). Studies of Javanese rituals such as </w:t>
      </w:r>
      <w:proofErr w:type="spellStart"/>
      <w:r>
        <w:rPr>
          <w:rFonts w:eastAsia="Palatino Linotype"/>
        </w:rPr>
        <w:t>slametan</w:t>
      </w:r>
      <w:proofErr w:type="spellEnd"/>
      <w:r>
        <w:rPr>
          <w:rFonts w:eastAsia="Palatino Linotype"/>
        </w:rPr>
        <w:t xml:space="preserve">, </w:t>
      </w:r>
      <w:proofErr w:type="spellStart"/>
      <w:r>
        <w:rPr>
          <w:rFonts w:eastAsia="Palatino Linotype"/>
        </w:rPr>
        <w:t>nyadran</w:t>
      </w:r>
      <w:proofErr w:type="spellEnd"/>
      <w:r>
        <w:rPr>
          <w:rFonts w:eastAsia="Palatino Linotype"/>
        </w:rPr>
        <w:t xml:space="preserve">, </w:t>
      </w:r>
      <w:proofErr w:type="spellStart"/>
      <w:r>
        <w:rPr>
          <w:rFonts w:eastAsia="Palatino Linotype"/>
        </w:rPr>
        <w:t>larung</w:t>
      </w:r>
      <w:proofErr w:type="spellEnd"/>
      <w:r>
        <w:rPr>
          <w:rFonts w:eastAsia="Palatino Linotype"/>
        </w:rPr>
        <w:t xml:space="preserve"> </w:t>
      </w:r>
      <w:proofErr w:type="spellStart"/>
      <w:r>
        <w:rPr>
          <w:rFonts w:eastAsia="Palatino Linotype"/>
        </w:rPr>
        <w:t>sesaji</w:t>
      </w:r>
      <w:proofErr w:type="spellEnd"/>
      <w:r>
        <w:rPr>
          <w:rFonts w:eastAsia="Palatino Linotype"/>
        </w:rPr>
        <w:t>, and related ceremonial forms also show that ritual objects and verbal expressions function as layered moral texts that transmit cosmology, social ethics, respect, solidarity, and communal responsibility (</w:t>
      </w:r>
      <w:proofErr w:type="spellStart"/>
      <w:r>
        <w:rPr>
          <w:rFonts w:eastAsia="Palatino Linotype"/>
        </w:rPr>
        <w:t>Andriyanto</w:t>
      </w:r>
      <w:proofErr w:type="spellEnd"/>
      <w:r>
        <w:rPr>
          <w:rFonts w:eastAsia="Palatino Linotype"/>
        </w:rPr>
        <w:t xml:space="preserve"> et al., 2022; Maulana et al., 2025; Sholeh et al., 2025). Yet these studies have rarely connected a specific Javanese Buddhist ritual to a formal model of character education.</w:t>
      </w:r>
    </w:p>
    <w:p w14:paraId="377678A3" w14:textId="77777777" w:rsidR="00AF23E2" w:rsidRDefault="00000000">
      <w:pPr>
        <w:pStyle w:val="Alishlah31text"/>
      </w:pPr>
      <w:r>
        <w:rPr>
          <w:rFonts w:eastAsia="Palatino Linotype"/>
        </w:rPr>
        <w:t xml:space="preserve">This gap is particularly visible in the study of Javanese Buddhism. Buddhism in Java developed through long interaction with Javanese cosmology, ancestor reverence, local language, and communal ritual aesthetics. The result is not merely canonical Buddhism in a local costume, but a living religious-cultural synthesis in which Buddhist ethics and Javanese symbolic worlds mutually shape one another. Recent work on Javanese Buddhist communities highlights the role of language, ritual invention, tolerance, social solidarity, and symbolic practice in transmitting religious values (Buaban, 2025; </w:t>
      </w:r>
      <w:proofErr w:type="spellStart"/>
      <w:r>
        <w:rPr>
          <w:rFonts w:eastAsia="Palatino Linotype"/>
        </w:rPr>
        <w:t>Praptiyono</w:t>
      </w:r>
      <w:proofErr w:type="spellEnd"/>
      <w:r>
        <w:rPr>
          <w:rFonts w:eastAsia="Palatino Linotype"/>
        </w:rPr>
        <w:t xml:space="preserve"> &amp; Mega </w:t>
      </w:r>
      <w:proofErr w:type="spellStart"/>
      <w:r>
        <w:rPr>
          <w:rFonts w:eastAsia="Palatino Linotype"/>
        </w:rPr>
        <w:t>Singamurti</w:t>
      </w:r>
      <w:proofErr w:type="spellEnd"/>
      <w:r>
        <w:rPr>
          <w:rFonts w:eastAsia="Palatino Linotype"/>
        </w:rPr>
        <w:t xml:space="preserve">, 2025; Rizzo, 2024; Sukma et al., 2025; Tania &amp; </w:t>
      </w:r>
      <w:proofErr w:type="spellStart"/>
      <w:r>
        <w:rPr>
          <w:rFonts w:eastAsia="Palatino Linotype"/>
        </w:rPr>
        <w:t>Yatno</w:t>
      </w:r>
      <w:proofErr w:type="spellEnd"/>
      <w:r>
        <w:rPr>
          <w:rFonts w:eastAsia="Palatino Linotype"/>
        </w:rPr>
        <w:t xml:space="preserve">, 2025; Vidya &amp; Utami, 2024). Nevertheless, the </w:t>
      </w:r>
      <w:proofErr w:type="spellStart"/>
      <w:r>
        <w:rPr>
          <w:rFonts w:eastAsia="Palatino Linotype"/>
        </w:rPr>
        <w:t>Ujub</w:t>
      </w:r>
      <w:proofErr w:type="spellEnd"/>
      <w:r>
        <w:rPr>
          <w:rFonts w:eastAsia="Palatino Linotype"/>
        </w:rPr>
        <w:t xml:space="preserve"> </w:t>
      </w:r>
      <w:proofErr w:type="spellStart"/>
      <w:r>
        <w:rPr>
          <w:rFonts w:eastAsia="Palatino Linotype"/>
        </w:rPr>
        <w:t>Sesaji</w:t>
      </w:r>
      <w:proofErr w:type="spellEnd"/>
      <w:r>
        <w:rPr>
          <w:rFonts w:eastAsia="Palatino Linotype"/>
        </w:rPr>
        <w:t xml:space="preserve"> ritual within Javanese-language Puja Bakti in </w:t>
      </w:r>
      <w:proofErr w:type="spellStart"/>
      <w:r>
        <w:rPr>
          <w:rFonts w:eastAsia="Palatino Linotype"/>
        </w:rPr>
        <w:t>Boyolali</w:t>
      </w:r>
      <w:proofErr w:type="spellEnd"/>
      <w:r>
        <w:rPr>
          <w:rFonts w:eastAsia="Palatino Linotype"/>
        </w:rPr>
        <w:t xml:space="preserve"> Regency has not been systematically analyzed as a vehicle of character education.</w:t>
      </w:r>
    </w:p>
    <w:p w14:paraId="56FECBB9" w14:textId="77777777" w:rsidR="00AF23E2" w:rsidRDefault="00000000">
      <w:pPr>
        <w:pStyle w:val="Alishlah31text"/>
      </w:pPr>
      <w:r>
        <w:rPr>
          <w:rFonts w:eastAsia="Palatino Linotype"/>
        </w:rPr>
        <w:t xml:space="preserve">The present study addresses that gap by examining how </w:t>
      </w:r>
      <w:proofErr w:type="spellStart"/>
      <w:r>
        <w:rPr>
          <w:rFonts w:eastAsia="Palatino Linotype"/>
        </w:rPr>
        <w:t>Ujub</w:t>
      </w:r>
      <w:proofErr w:type="spellEnd"/>
      <w:r>
        <w:rPr>
          <w:rFonts w:eastAsia="Palatino Linotype"/>
        </w:rPr>
        <w:t xml:space="preserve"> </w:t>
      </w:r>
      <w:proofErr w:type="spellStart"/>
      <w:r>
        <w:rPr>
          <w:rFonts w:eastAsia="Palatino Linotype"/>
        </w:rPr>
        <w:t>Sesaji</w:t>
      </w:r>
      <w:proofErr w:type="spellEnd"/>
      <w:r>
        <w:rPr>
          <w:rFonts w:eastAsia="Palatino Linotype"/>
        </w:rPr>
        <w:t xml:space="preserve"> functions as a culturally grounded moral pedagogy. The central question is: how does </w:t>
      </w:r>
      <w:proofErr w:type="spellStart"/>
      <w:r>
        <w:rPr>
          <w:rFonts w:eastAsia="Palatino Linotype"/>
        </w:rPr>
        <w:t>Ujub</w:t>
      </w:r>
      <w:proofErr w:type="spellEnd"/>
      <w:r>
        <w:rPr>
          <w:rFonts w:eastAsia="Palatino Linotype"/>
        </w:rPr>
        <w:t xml:space="preserve"> </w:t>
      </w:r>
      <w:proofErr w:type="spellStart"/>
      <w:r>
        <w:rPr>
          <w:rFonts w:eastAsia="Palatino Linotype"/>
        </w:rPr>
        <w:t>Sesaji</w:t>
      </w:r>
      <w:proofErr w:type="spellEnd"/>
      <w:r>
        <w:rPr>
          <w:rFonts w:eastAsia="Palatino Linotype"/>
        </w:rPr>
        <w:t xml:space="preserve"> cultivate moral knowing, moral feeling, and moral action within the Javanese Buddhist community of </w:t>
      </w:r>
      <w:proofErr w:type="spellStart"/>
      <w:r>
        <w:rPr>
          <w:rFonts w:eastAsia="Palatino Linotype"/>
        </w:rPr>
        <w:t>Boyolali</w:t>
      </w:r>
      <w:proofErr w:type="spellEnd"/>
      <w:r>
        <w:rPr>
          <w:rFonts w:eastAsia="Palatino Linotype"/>
        </w:rPr>
        <w:t xml:space="preserve"> Regency? By answering this question, the article contributes to three fields at once: Buddhist studies, Javanese cultural pedagogy, and character education theory. It argues that </w:t>
      </w:r>
      <w:proofErr w:type="spellStart"/>
      <w:r>
        <w:rPr>
          <w:rFonts w:eastAsia="Palatino Linotype"/>
        </w:rPr>
        <w:t>Ujub</w:t>
      </w:r>
      <w:proofErr w:type="spellEnd"/>
      <w:r>
        <w:rPr>
          <w:rFonts w:eastAsia="Palatino Linotype"/>
        </w:rPr>
        <w:t xml:space="preserve"> </w:t>
      </w:r>
      <w:proofErr w:type="spellStart"/>
      <w:r>
        <w:rPr>
          <w:rFonts w:eastAsia="Palatino Linotype"/>
        </w:rPr>
        <w:t>Sesaji</w:t>
      </w:r>
      <w:proofErr w:type="spellEnd"/>
      <w:r>
        <w:rPr>
          <w:rFonts w:eastAsia="Palatino Linotype"/>
        </w:rPr>
        <w:t xml:space="preserve"> should be understood not only as devotional performance, but also as a living moral curriculum that integrates doctrine, affect, communal action, and intergenerational responsibility.</w:t>
      </w:r>
    </w:p>
    <w:p w14:paraId="07DA4F21" w14:textId="77777777" w:rsidR="00AF23E2" w:rsidRDefault="00000000">
      <w:pPr>
        <w:pStyle w:val="Alishlah21heading1"/>
      </w:pPr>
      <w:r>
        <w:rPr>
          <w:rFonts w:eastAsia="Palatino Linotype"/>
        </w:rPr>
        <w:t>METHODS</w:t>
      </w:r>
    </w:p>
    <w:p w14:paraId="5D1A4D13" w14:textId="77777777" w:rsidR="00AF23E2" w:rsidRDefault="00000000">
      <w:pPr>
        <w:pStyle w:val="Alishlah22heading2"/>
      </w:pPr>
      <w:r>
        <w:rPr>
          <w:rFonts w:eastAsia="Palatino Linotype"/>
        </w:rPr>
        <w:t>2.1. Analytical Framework</w:t>
      </w:r>
    </w:p>
    <w:p w14:paraId="550BB28F" w14:textId="77777777" w:rsidR="00AF23E2" w:rsidRDefault="00000000">
      <w:pPr>
        <w:pStyle w:val="Alishlah31text"/>
      </w:pPr>
      <w:r>
        <w:rPr>
          <w:rFonts w:eastAsia="Palatino Linotype"/>
        </w:rPr>
        <w:t xml:space="preserve">This study is grounded primarily in </w:t>
      </w:r>
      <w:proofErr w:type="spellStart"/>
      <w:r>
        <w:rPr>
          <w:rFonts w:eastAsia="Palatino Linotype"/>
        </w:rPr>
        <w:t>Lickona's</w:t>
      </w:r>
      <w:proofErr w:type="spellEnd"/>
      <w:r>
        <w:rPr>
          <w:rFonts w:eastAsia="Palatino Linotype"/>
        </w:rPr>
        <w:t xml:space="preserve"> (1992) model of character education. The framework is used not as a rigid checklist, but as an analytical lens for reading the pedagogical structure of the ritual. Moral knowing is identified in the way ritual symbols communicate ethical concepts; moral feeling is identified in the affective dispositions cultivated through language, rhythm, </w:t>
      </w:r>
      <w:r>
        <w:rPr>
          <w:rFonts w:eastAsia="Palatino Linotype"/>
        </w:rPr>
        <w:lastRenderedPageBreak/>
        <w:t>reverence, gratitude, and communal participation; and moral action is identified in the disciplined practices through which values are embodied in repeated behavior.</w:t>
      </w:r>
    </w:p>
    <w:p w14:paraId="3CCDFDED" w14:textId="77777777" w:rsidR="00AF23E2" w:rsidRDefault="00000000">
      <w:pPr>
        <w:pStyle w:val="Alishlah31text"/>
      </w:pPr>
      <w:r>
        <w:rPr>
          <w:rFonts w:eastAsia="Palatino Linotype"/>
        </w:rPr>
        <w:t xml:space="preserve">This framework is complemented by theories of ritual and interpretation. Durkheim (2016) understands religious ceremony as a social mechanism through which communities generate collective moral life. Turner et al. (2017) add that ritual produces communitas, a shared affective-social experience that binds participants into a moral community. Gadamer's (2008) hermeneutics provides the interpretive basis for reading ritual texts and symbols as historically situated meaning structures. Together, these perspectives allow </w:t>
      </w:r>
      <w:proofErr w:type="spellStart"/>
      <w:r>
        <w:rPr>
          <w:rFonts w:eastAsia="Palatino Linotype"/>
        </w:rPr>
        <w:t>Ujub</w:t>
      </w:r>
      <w:proofErr w:type="spellEnd"/>
      <w:r>
        <w:rPr>
          <w:rFonts w:eastAsia="Palatino Linotype"/>
        </w:rPr>
        <w:t xml:space="preserve"> </w:t>
      </w:r>
      <w:proofErr w:type="spellStart"/>
      <w:r>
        <w:rPr>
          <w:rFonts w:eastAsia="Palatino Linotype"/>
        </w:rPr>
        <w:t>Sesaji</w:t>
      </w:r>
      <w:proofErr w:type="spellEnd"/>
      <w:r>
        <w:rPr>
          <w:rFonts w:eastAsia="Palatino Linotype"/>
        </w:rPr>
        <w:t xml:space="preserve"> to be analyzed as a symbolic, affective, and practical site of character formation.</w:t>
      </w:r>
    </w:p>
    <w:p w14:paraId="45934F1B" w14:textId="77777777" w:rsidR="00AF23E2" w:rsidRDefault="00000000">
      <w:pPr>
        <w:pStyle w:val="Alishlah22heading2"/>
      </w:pPr>
      <w:r>
        <w:rPr>
          <w:rFonts w:eastAsia="Palatino Linotype"/>
        </w:rPr>
        <w:t>2.2. Research Design, Site, and Data Collection</w:t>
      </w:r>
    </w:p>
    <w:p w14:paraId="3F4E88C3" w14:textId="77777777" w:rsidR="00AF23E2" w:rsidRDefault="00000000">
      <w:pPr>
        <w:pStyle w:val="Alishlah31text"/>
      </w:pPr>
      <w:r>
        <w:rPr>
          <w:rFonts w:eastAsia="Palatino Linotype"/>
        </w:rPr>
        <w:t xml:space="preserve">The research employed a qualitative descriptive-hermeneutic approach. A qualitative design is appropriate because the study seeks to understand the meaning of ritual practice in its natural social and religious setting rather than to measure variables statistically (Creswell &amp; Poth, 2016). The descriptive dimension maps the observable sequence of </w:t>
      </w:r>
      <w:proofErr w:type="spellStart"/>
      <w:r>
        <w:rPr>
          <w:rFonts w:eastAsia="Palatino Linotype"/>
        </w:rPr>
        <w:t>Ujub</w:t>
      </w:r>
      <w:proofErr w:type="spellEnd"/>
      <w:r>
        <w:rPr>
          <w:rFonts w:eastAsia="Palatino Linotype"/>
        </w:rPr>
        <w:t xml:space="preserve"> </w:t>
      </w:r>
      <w:proofErr w:type="spellStart"/>
      <w:r>
        <w:rPr>
          <w:rFonts w:eastAsia="Palatino Linotype"/>
        </w:rPr>
        <w:t>Sesaji</w:t>
      </w:r>
      <w:proofErr w:type="spellEnd"/>
      <w:r>
        <w:rPr>
          <w:rFonts w:eastAsia="Palatino Linotype"/>
        </w:rPr>
        <w:t>, including its verbal expressions, ritual actors, symbolic objects, and communal actions. The hermeneutic dimension interprets the moral meanings embedded in the ritual's language, gestures, offerings, and doctrinal references.</w:t>
      </w:r>
    </w:p>
    <w:p w14:paraId="42E18565" w14:textId="77777777" w:rsidR="00AF23E2" w:rsidRDefault="00000000">
      <w:pPr>
        <w:pStyle w:val="Alishlah31text"/>
      </w:pPr>
      <w:r>
        <w:rPr>
          <w:rFonts w:eastAsia="Palatino Linotype"/>
        </w:rPr>
        <w:t xml:space="preserve">The research site was the Javanese Buddhist community in </w:t>
      </w:r>
      <w:proofErr w:type="spellStart"/>
      <w:r>
        <w:rPr>
          <w:rFonts w:eastAsia="Palatino Linotype"/>
        </w:rPr>
        <w:t>Boyolali</w:t>
      </w:r>
      <w:proofErr w:type="spellEnd"/>
      <w:r>
        <w:rPr>
          <w:rFonts w:eastAsia="Palatino Linotype"/>
        </w:rPr>
        <w:t xml:space="preserve"> Regency, Central Java. This community was selected purposively because it continues to practice Puja Bakti in the Javanese language and retains </w:t>
      </w:r>
      <w:proofErr w:type="spellStart"/>
      <w:r>
        <w:rPr>
          <w:rFonts w:eastAsia="Palatino Linotype"/>
        </w:rPr>
        <w:t>Ujub</w:t>
      </w:r>
      <w:proofErr w:type="spellEnd"/>
      <w:r>
        <w:rPr>
          <w:rFonts w:eastAsia="Palatino Linotype"/>
        </w:rPr>
        <w:t xml:space="preserve"> </w:t>
      </w:r>
      <w:proofErr w:type="spellStart"/>
      <w:r>
        <w:rPr>
          <w:rFonts w:eastAsia="Palatino Linotype"/>
        </w:rPr>
        <w:t>Sesaji</w:t>
      </w:r>
      <w:proofErr w:type="spellEnd"/>
      <w:r>
        <w:rPr>
          <w:rFonts w:eastAsia="Palatino Linotype"/>
        </w:rPr>
        <w:t xml:space="preserve"> as part of its liturgical pattern. Data were collected through participant observation during ritual events, semi-structured interviews with religious leaders, ritual practitioners, and community members, and documentary analysis of </w:t>
      </w:r>
      <w:proofErr w:type="spellStart"/>
      <w:r>
        <w:rPr>
          <w:rFonts w:eastAsia="Palatino Linotype"/>
        </w:rPr>
        <w:t>Ujub</w:t>
      </w:r>
      <w:proofErr w:type="spellEnd"/>
      <w:r>
        <w:rPr>
          <w:rFonts w:eastAsia="Palatino Linotype"/>
        </w:rPr>
        <w:t xml:space="preserve"> texts, ritual manuals, and supporting liturgical materials. This combination of methods enabled the study to connect what participants do, what they say, and how ritual texts encode moral values.</w:t>
      </w:r>
    </w:p>
    <w:p w14:paraId="60C74463" w14:textId="77777777" w:rsidR="00AF23E2" w:rsidRDefault="00000000">
      <w:pPr>
        <w:pStyle w:val="Alishlah22heading2"/>
      </w:pPr>
      <w:r>
        <w:rPr>
          <w:rFonts w:eastAsia="Palatino Linotype"/>
        </w:rPr>
        <w:t>2.3. Data Analysis and Trustworthiness</w:t>
      </w:r>
    </w:p>
    <w:p w14:paraId="57977BDB" w14:textId="77777777" w:rsidR="00AF23E2" w:rsidRDefault="00000000">
      <w:pPr>
        <w:pStyle w:val="Alishlah31text"/>
      </w:pPr>
      <w:r>
        <w:rPr>
          <w:rFonts w:eastAsia="Palatino Linotype"/>
        </w:rPr>
        <w:t xml:space="preserve">Data analysis followed the interactive model of Miles, Huberman, and Saldaña (2014), consisting of data condensation, data display, interpretation, and conclusion drawing. Observational notes, interview data, and ritual texts were coded according to the three dimensions of </w:t>
      </w:r>
      <w:proofErr w:type="spellStart"/>
      <w:r>
        <w:rPr>
          <w:rFonts w:eastAsia="Palatino Linotype"/>
        </w:rPr>
        <w:t>Lickona's</w:t>
      </w:r>
      <w:proofErr w:type="spellEnd"/>
      <w:r>
        <w:rPr>
          <w:rFonts w:eastAsia="Palatino Linotype"/>
        </w:rPr>
        <w:t xml:space="preserve"> framework. The coding process examined how each ritual element contributed to moral cognition, moral emotion, and moral practice. Trustworthiness was strengthened through methodological triangulation and member checking. Interpretive claims were cross-checked across observation, interview, and document data, then compared with participants' own explanations of ritual meaning.</w:t>
      </w:r>
    </w:p>
    <w:p w14:paraId="69775DFE" w14:textId="77777777" w:rsidR="00AF23E2" w:rsidRDefault="00000000">
      <w:pPr>
        <w:pStyle w:val="Alishlah21heading1"/>
      </w:pPr>
      <w:r>
        <w:rPr>
          <w:rFonts w:eastAsia="Palatino Linotype"/>
        </w:rPr>
        <w:t>FINDINGS AND DISCUSSION</w:t>
      </w:r>
    </w:p>
    <w:p w14:paraId="235DC685" w14:textId="77777777" w:rsidR="00AF23E2" w:rsidRDefault="00000000">
      <w:pPr>
        <w:pStyle w:val="Alishlah22heading2"/>
      </w:pPr>
      <w:r>
        <w:rPr>
          <w:rFonts w:eastAsia="Palatino Linotype"/>
        </w:rPr>
        <w:t xml:space="preserve">3.1. The </w:t>
      </w:r>
      <w:proofErr w:type="spellStart"/>
      <w:r>
        <w:rPr>
          <w:rFonts w:eastAsia="Palatino Linotype"/>
        </w:rPr>
        <w:t>Ujub</w:t>
      </w:r>
      <w:proofErr w:type="spellEnd"/>
      <w:r>
        <w:rPr>
          <w:rFonts w:eastAsia="Palatino Linotype"/>
        </w:rPr>
        <w:t xml:space="preserve"> </w:t>
      </w:r>
      <w:proofErr w:type="spellStart"/>
      <w:r>
        <w:rPr>
          <w:rFonts w:eastAsia="Palatino Linotype"/>
        </w:rPr>
        <w:t>Sesaji</w:t>
      </w:r>
      <w:proofErr w:type="spellEnd"/>
      <w:r>
        <w:rPr>
          <w:rFonts w:eastAsia="Palatino Linotype"/>
        </w:rPr>
        <w:t xml:space="preserve"> Ritual in Javanese-Language Puja Bakti</w:t>
      </w:r>
    </w:p>
    <w:p w14:paraId="5F95AFB6" w14:textId="77777777" w:rsidR="00AF23E2" w:rsidRDefault="00000000">
      <w:pPr>
        <w:pStyle w:val="Alishlah31text"/>
      </w:pPr>
      <w:proofErr w:type="spellStart"/>
      <w:r>
        <w:rPr>
          <w:rFonts w:eastAsia="Palatino Linotype"/>
        </w:rPr>
        <w:t>Ujub</w:t>
      </w:r>
      <w:proofErr w:type="spellEnd"/>
      <w:r>
        <w:rPr>
          <w:rFonts w:eastAsia="Palatino Linotype"/>
        </w:rPr>
        <w:t xml:space="preserve"> </w:t>
      </w:r>
      <w:proofErr w:type="spellStart"/>
      <w:r>
        <w:rPr>
          <w:rFonts w:eastAsia="Palatino Linotype"/>
        </w:rPr>
        <w:t>Sesaji</w:t>
      </w:r>
      <w:proofErr w:type="spellEnd"/>
      <w:r>
        <w:rPr>
          <w:rFonts w:eastAsia="Palatino Linotype"/>
        </w:rPr>
        <w:t xml:space="preserve"> is a central component of Javanese-language Puja Bakti practiced by Buddhist communities in </w:t>
      </w:r>
      <w:proofErr w:type="spellStart"/>
      <w:r>
        <w:rPr>
          <w:rFonts w:eastAsia="Palatino Linotype"/>
        </w:rPr>
        <w:t>Boyolali</w:t>
      </w:r>
      <w:proofErr w:type="spellEnd"/>
      <w:r>
        <w:rPr>
          <w:rFonts w:eastAsia="Palatino Linotype"/>
        </w:rPr>
        <w:t xml:space="preserve"> Regency. Puja Bakti itself is a communal Buddhist worship service, while </w:t>
      </w:r>
      <w:proofErr w:type="spellStart"/>
      <w:r>
        <w:rPr>
          <w:rFonts w:eastAsia="Palatino Linotype"/>
        </w:rPr>
        <w:t>Ujub</w:t>
      </w:r>
      <w:proofErr w:type="spellEnd"/>
      <w:r>
        <w:rPr>
          <w:rFonts w:eastAsia="Palatino Linotype"/>
        </w:rPr>
        <w:t xml:space="preserve"> refers to the formal verbal declaration of intention, offering, gratitude, and supplication. </w:t>
      </w:r>
      <w:proofErr w:type="spellStart"/>
      <w:r>
        <w:rPr>
          <w:rFonts w:eastAsia="Palatino Linotype"/>
        </w:rPr>
        <w:t>Sesaji</w:t>
      </w:r>
      <w:proofErr w:type="spellEnd"/>
      <w:r>
        <w:rPr>
          <w:rFonts w:eastAsia="Palatino Linotype"/>
        </w:rPr>
        <w:t xml:space="preserve"> refers to the arrangement of symbolic offerings placed within the ritual space. Together, </w:t>
      </w:r>
      <w:proofErr w:type="spellStart"/>
      <w:r>
        <w:rPr>
          <w:rFonts w:eastAsia="Palatino Linotype"/>
        </w:rPr>
        <w:t>Ujub</w:t>
      </w:r>
      <w:proofErr w:type="spellEnd"/>
      <w:r>
        <w:rPr>
          <w:rFonts w:eastAsia="Palatino Linotype"/>
        </w:rPr>
        <w:t xml:space="preserve"> </w:t>
      </w:r>
      <w:proofErr w:type="spellStart"/>
      <w:r>
        <w:rPr>
          <w:rFonts w:eastAsia="Palatino Linotype"/>
        </w:rPr>
        <w:t>Sesaji</w:t>
      </w:r>
      <w:proofErr w:type="spellEnd"/>
      <w:r>
        <w:rPr>
          <w:rFonts w:eastAsia="Palatino Linotype"/>
        </w:rPr>
        <w:t xml:space="preserve"> creates a performative moment in which speech, object, gesture, memory, and communal presence converge. In Geertz's (2017) terms, the ritual functions as a cultural system: its symbols do not simply represent beliefs, but also orient conduct and shape how participants understand the world.</w:t>
      </w:r>
    </w:p>
    <w:p w14:paraId="0C82B954" w14:textId="77777777" w:rsidR="00AF23E2" w:rsidRDefault="00000000">
      <w:pPr>
        <w:pStyle w:val="Alishlah31text"/>
      </w:pPr>
      <w:r>
        <w:rPr>
          <w:rFonts w:eastAsia="Palatino Linotype"/>
        </w:rPr>
        <w:t xml:space="preserve">The ritual normally begins with the preparation of offerings by community members. This preparatory work is already pedagogical because it requires cooperation, attentiveness, and shared responsibility. The officiant, commonly a senior practitioner or elder, then leads the </w:t>
      </w:r>
      <w:proofErr w:type="spellStart"/>
      <w:r>
        <w:rPr>
          <w:rFonts w:eastAsia="Palatino Linotype"/>
        </w:rPr>
        <w:t>Ujub</w:t>
      </w:r>
      <w:proofErr w:type="spellEnd"/>
      <w:r>
        <w:rPr>
          <w:rFonts w:eastAsia="Palatino Linotype"/>
        </w:rPr>
        <w:t xml:space="preserve"> recitation. During the recitation, the officiant identifies the offerings and explains their spiritual and moral </w:t>
      </w:r>
      <w:r>
        <w:rPr>
          <w:rFonts w:eastAsia="Palatino Linotype"/>
        </w:rPr>
        <w:lastRenderedPageBreak/>
        <w:t>meanings to the congregation. Thus, the ritual is not silent symbolism alone; it is accompanied by verbal interpretation that makes moral meanings available to participants across generations.</w:t>
      </w:r>
    </w:p>
    <w:p w14:paraId="0E0C87B0" w14:textId="77777777" w:rsidR="00AF23E2" w:rsidRDefault="00000000">
      <w:pPr>
        <w:pStyle w:val="Alishlah31text"/>
      </w:pPr>
      <w:r>
        <w:rPr>
          <w:rFonts w:eastAsia="Palatino Linotype"/>
        </w:rPr>
        <w:t xml:space="preserve">The </w:t>
      </w:r>
      <w:proofErr w:type="spellStart"/>
      <w:r>
        <w:rPr>
          <w:rFonts w:eastAsia="Palatino Linotype"/>
        </w:rPr>
        <w:t>sesaji</w:t>
      </w:r>
      <w:proofErr w:type="spellEnd"/>
      <w:r>
        <w:rPr>
          <w:rFonts w:eastAsia="Palatino Linotype"/>
        </w:rPr>
        <w:t xml:space="preserve"> typically consists of five main symbolic elements. First, two candles are used: a red candle, </w:t>
      </w:r>
      <w:proofErr w:type="spellStart"/>
      <w:r>
        <w:rPr>
          <w:rFonts w:eastAsia="Palatino Linotype"/>
        </w:rPr>
        <w:t>lilin</w:t>
      </w:r>
      <w:proofErr w:type="spellEnd"/>
      <w:r>
        <w:rPr>
          <w:rFonts w:eastAsia="Palatino Linotype"/>
        </w:rPr>
        <w:t xml:space="preserve"> </w:t>
      </w:r>
      <w:proofErr w:type="spellStart"/>
      <w:r>
        <w:rPr>
          <w:rFonts w:eastAsia="Palatino Linotype"/>
        </w:rPr>
        <w:t>abrit</w:t>
      </w:r>
      <w:proofErr w:type="spellEnd"/>
      <w:r>
        <w:rPr>
          <w:rFonts w:eastAsia="Palatino Linotype"/>
        </w:rPr>
        <w:t xml:space="preserve">, associated with maternal blessing, and a white candle, </w:t>
      </w:r>
      <w:proofErr w:type="spellStart"/>
      <w:r>
        <w:rPr>
          <w:rFonts w:eastAsia="Palatino Linotype"/>
        </w:rPr>
        <w:t>lilin</w:t>
      </w:r>
      <w:proofErr w:type="spellEnd"/>
      <w:r>
        <w:rPr>
          <w:rFonts w:eastAsia="Palatino Linotype"/>
        </w:rPr>
        <w:t xml:space="preserve"> </w:t>
      </w:r>
      <w:proofErr w:type="spellStart"/>
      <w:r>
        <w:rPr>
          <w:rFonts w:eastAsia="Palatino Linotype"/>
        </w:rPr>
        <w:t>pethak</w:t>
      </w:r>
      <w:proofErr w:type="spellEnd"/>
      <w:r>
        <w:rPr>
          <w:rFonts w:eastAsia="Palatino Linotype"/>
        </w:rPr>
        <w:t xml:space="preserve">, associated with paternal blessing. Together they represent the moral light transmitted by parents. Second, clear water, </w:t>
      </w:r>
      <w:proofErr w:type="spellStart"/>
      <w:r>
        <w:rPr>
          <w:rFonts w:eastAsia="Palatino Linotype"/>
        </w:rPr>
        <w:t>toya</w:t>
      </w:r>
      <w:proofErr w:type="spellEnd"/>
      <w:r>
        <w:rPr>
          <w:rFonts w:eastAsia="Palatino Linotype"/>
        </w:rPr>
        <w:t xml:space="preserve"> </w:t>
      </w:r>
      <w:proofErr w:type="spellStart"/>
      <w:r>
        <w:rPr>
          <w:rFonts w:eastAsia="Palatino Linotype"/>
        </w:rPr>
        <w:t>wening</w:t>
      </w:r>
      <w:proofErr w:type="spellEnd"/>
      <w:r>
        <w:rPr>
          <w:rFonts w:eastAsia="Palatino Linotype"/>
        </w:rPr>
        <w:t xml:space="preserve">, symbolizes purity of thought, speech, and conduct. Third, fruits, including hanging fruits or </w:t>
      </w:r>
      <w:proofErr w:type="spellStart"/>
      <w:r>
        <w:rPr>
          <w:rFonts w:eastAsia="Palatino Linotype"/>
        </w:rPr>
        <w:t>pala</w:t>
      </w:r>
      <w:proofErr w:type="spellEnd"/>
      <w:r>
        <w:rPr>
          <w:rFonts w:eastAsia="Palatino Linotype"/>
        </w:rPr>
        <w:t xml:space="preserve"> </w:t>
      </w:r>
      <w:proofErr w:type="spellStart"/>
      <w:r>
        <w:rPr>
          <w:rFonts w:eastAsia="Palatino Linotype"/>
        </w:rPr>
        <w:t>gumantung</w:t>
      </w:r>
      <w:proofErr w:type="spellEnd"/>
      <w:r>
        <w:rPr>
          <w:rFonts w:eastAsia="Palatino Linotype"/>
        </w:rPr>
        <w:t xml:space="preserve">, symbolize the karmic relation between past action and present circumstance. Fourth, a circular flower arrangement, </w:t>
      </w:r>
      <w:proofErr w:type="spellStart"/>
      <w:r>
        <w:rPr>
          <w:rFonts w:eastAsia="Palatino Linotype"/>
        </w:rPr>
        <w:t>sekar</w:t>
      </w:r>
      <w:proofErr w:type="spellEnd"/>
      <w:r>
        <w:rPr>
          <w:rFonts w:eastAsia="Palatino Linotype"/>
        </w:rPr>
        <w:t xml:space="preserve"> </w:t>
      </w:r>
      <w:proofErr w:type="spellStart"/>
      <w:r>
        <w:rPr>
          <w:rFonts w:eastAsia="Palatino Linotype"/>
        </w:rPr>
        <w:t>atepung</w:t>
      </w:r>
      <w:proofErr w:type="spellEnd"/>
      <w:r>
        <w:rPr>
          <w:rFonts w:eastAsia="Palatino Linotype"/>
        </w:rPr>
        <w:t xml:space="preserve"> </w:t>
      </w:r>
      <w:proofErr w:type="spellStart"/>
      <w:r>
        <w:rPr>
          <w:rFonts w:eastAsia="Palatino Linotype"/>
        </w:rPr>
        <w:t>gelang</w:t>
      </w:r>
      <w:proofErr w:type="spellEnd"/>
      <w:r>
        <w:rPr>
          <w:rFonts w:eastAsia="Palatino Linotype"/>
        </w:rPr>
        <w:t>, evokes impermanence and the cycle of life. Fifth, several forms of tumpeng express wisdom, the trials of life, and communal blessing.</w:t>
      </w:r>
    </w:p>
    <w:p w14:paraId="11BE18F2" w14:textId="77777777" w:rsidR="00AF23E2" w:rsidRDefault="00000000">
      <w:pPr>
        <w:pStyle w:val="Alishlah31text"/>
      </w:pPr>
      <w:r>
        <w:rPr>
          <w:rFonts w:eastAsia="Palatino Linotype"/>
        </w:rPr>
        <w:t xml:space="preserve">The use of Javanese is crucial. Language situates Buddhist teaching within the emotional and cultural world of the community. Sukma et al. (2025) show that Javanese in Buddhist devotion deepens spiritual meaning by connecting doctrine with local identity. In </w:t>
      </w:r>
      <w:proofErr w:type="spellStart"/>
      <w:r>
        <w:rPr>
          <w:rFonts w:eastAsia="Palatino Linotype"/>
        </w:rPr>
        <w:t>Ujub</w:t>
      </w:r>
      <w:proofErr w:type="spellEnd"/>
      <w:r>
        <w:rPr>
          <w:rFonts w:eastAsia="Palatino Linotype"/>
        </w:rPr>
        <w:t xml:space="preserve"> </w:t>
      </w:r>
      <w:proofErr w:type="spellStart"/>
      <w:r>
        <w:rPr>
          <w:rFonts w:eastAsia="Palatino Linotype"/>
        </w:rPr>
        <w:t>Sesaji</w:t>
      </w:r>
      <w:proofErr w:type="spellEnd"/>
      <w:r>
        <w:rPr>
          <w:rFonts w:eastAsia="Palatino Linotype"/>
        </w:rPr>
        <w:t>, the mother tongue makes Buddhist values feel close, familiar, and affectively powerful. The ritual therefore reflects a syncretic but coherent religious pedagogy: Buddhist ethical concepts are transmitted through Javanese symbolic language, communal memory, and embodied performance.</w:t>
      </w:r>
    </w:p>
    <w:p w14:paraId="44CFC39F" w14:textId="77777777" w:rsidR="00AF23E2" w:rsidRDefault="00000000">
      <w:pPr>
        <w:pStyle w:val="Alishlah22heading2"/>
      </w:pPr>
      <w:r>
        <w:rPr>
          <w:rFonts w:eastAsia="Palatino Linotype"/>
        </w:rPr>
        <w:t xml:space="preserve">3.2. Moral Knowing in </w:t>
      </w:r>
      <w:proofErr w:type="spellStart"/>
      <w:r>
        <w:rPr>
          <w:rFonts w:eastAsia="Palatino Linotype"/>
        </w:rPr>
        <w:t>Ujub</w:t>
      </w:r>
      <w:proofErr w:type="spellEnd"/>
      <w:r>
        <w:rPr>
          <w:rFonts w:eastAsia="Palatino Linotype"/>
        </w:rPr>
        <w:t xml:space="preserve"> </w:t>
      </w:r>
      <w:proofErr w:type="spellStart"/>
      <w:r>
        <w:rPr>
          <w:rFonts w:eastAsia="Palatino Linotype"/>
        </w:rPr>
        <w:t>Sesaji</w:t>
      </w:r>
      <w:proofErr w:type="spellEnd"/>
    </w:p>
    <w:p w14:paraId="71907E14" w14:textId="77777777" w:rsidR="00AF23E2" w:rsidRDefault="00000000">
      <w:pPr>
        <w:pStyle w:val="Alishlah31text"/>
      </w:pPr>
      <w:r>
        <w:rPr>
          <w:rFonts w:eastAsia="Palatino Linotype"/>
        </w:rPr>
        <w:t xml:space="preserve">Moral knowing in </w:t>
      </w:r>
      <w:proofErr w:type="spellStart"/>
      <w:r>
        <w:rPr>
          <w:rFonts w:eastAsia="Palatino Linotype"/>
        </w:rPr>
        <w:t>Ujub</w:t>
      </w:r>
      <w:proofErr w:type="spellEnd"/>
      <w:r>
        <w:rPr>
          <w:rFonts w:eastAsia="Palatino Linotype"/>
        </w:rPr>
        <w:t xml:space="preserve"> </w:t>
      </w:r>
      <w:proofErr w:type="spellStart"/>
      <w:r>
        <w:rPr>
          <w:rFonts w:eastAsia="Palatino Linotype"/>
        </w:rPr>
        <w:t>Sesaji</w:t>
      </w:r>
      <w:proofErr w:type="spellEnd"/>
      <w:r>
        <w:rPr>
          <w:rFonts w:eastAsia="Palatino Linotype"/>
        </w:rPr>
        <w:t xml:space="preserve"> appears through the interpretation of ritual symbols. </w:t>
      </w:r>
      <w:proofErr w:type="spellStart"/>
      <w:r>
        <w:rPr>
          <w:rFonts w:eastAsia="Palatino Linotype"/>
        </w:rPr>
        <w:t>Lickona</w:t>
      </w:r>
      <w:proofErr w:type="spellEnd"/>
      <w:r>
        <w:rPr>
          <w:rFonts w:eastAsia="Palatino Linotype"/>
        </w:rPr>
        <w:t xml:space="preserve"> (1992) explains that moral knowing includes moral awareness, knowledge of values, perspective-taking, moral reasoning, decision-making, and self-knowledge. In the ritual, these capacities are cultivated not through abstract moral lectures, but through symbolic pedagogy. Each offering becomes a material sign that participants are invited to read, remember, and internalize.</w:t>
      </w:r>
    </w:p>
    <w:p w14:paraId="4F41C4DE" w14:textId="77777777" w:rsidR="00AF23E2" w:rsidRDefault="00000000">
      <w:pPr>
        <w:pStyle w:val="Alishlah31text"/>
      </w:pPr>
      <w:r>
        <w:rPr>
          <w:rFonts w:eastAsia="Palatino Linotype"/>
        </w:rPr>
        <w:t>The red and white candles teach filial responsibility and intergenerational gratitude. Their light reminds participants that moral life is received from parents, ancestors, teachers, and the community. Clear water teaches purity and ethical self-discipline. It converts the abstract ideal of clean thought, speech, and conduct into a visible and sensory form. Fruits teach consequence and causality: present life is connected to prior actions. The circular flowers teach impermanence, helping participants understand that life must be lived with humility and awareness of change. The tumpeng teaches resilience, wisdom, and communal blessing, because food is shared and never understood as a purely private possession.</w:t>
      </w:r>
    </w:p>
    <w:p w14:paraId="292A5F60" w14:textId="77777777" w:rsidR="00AF23E2" w:rsidRDefault="00000000">
      <w:pPr>
        <w:pStyle w:val="Alishlah31text"/>
      </w:pPr>
      <w:r>
        <w:rPr>
          <w:rFonts w:eastAsia="Palatino Linotype"/>
        </w:rPr>
        <w:t xml:space="preserve">This symbolic interpretation demonstrates how ritual objects operate as moral texts. They model an ethical order and offer practical templates for conduct. Geertz (2017) argues that religious symbols both represent reality and shape reality by guiding action. </w:t>
      </w:r>
      <w:proofErr w:type="spellStart"/>
      <w:r>
        <w:rPr>
          <w:rFonts w:eastAsia="Palatino Linotype"/>
        </w:rPr>
        <w:t>Ujub</w:t>
      </w:r>
      <w:proofErr w:type="spellEnd"/>
      <w:r>
        <w:rPr>
          <w:rFonts w:eastAsia="Palatino Linotype"/>
        </w:rPr>
        <w:t xml:space="preserve"> </w:t>
      </w:r>
      <w:proofErr w:type="spellStart"/>
      <w:r>
        <w:rPr>
          <w:rFonts w:eastAsia="Palatino Linotype"/>
        </w:rPr>
        <w:t>Sesaji</w:t>
      </w:r>
      <w:proofErr w:type="spellEnd"/>
      <w:r>
        <w:rPr>
          <w:rFonts w:eastAsia="Palatino Linotype"/>
        </w:rPr>
        <w:t xml:space="preserve"> does precisely this. Participants do not simply see candles, water, fruits, flowers, and rice; they learn to see parental duty, purity, karmic consequence, impermanence, and communal solidarity. The material world becomes a medium of moral reasoning.</w:t>
      </w:r>
    </w:p>
    <w:p w14:paraId="5999C0D6" w14:textId="77777777" w:rsidR="00AF23E2" w:rsidRDefault="00000000">
      <w:pPr>
        <w:pStyle w:val="Alishlah31text"/>
      </w:pPr>
      <w:r>
        <w:rPr>
          <w:rFonts w:eastAsia="Palatino Linotype"/>
        </w:rPr>
        <w:t xml:space="preserve">Within the community's Buddhist horizon, these meanings are also connected to familiar ethical categories such as generosity, discipline, and inner cultivation. The ritual therefore works as a bridge between doctrinal understanding and everyday life. Even community members without formal Buddhist education can grasp ethical ideas because they are mediated through objects, language, and practices that are already culturally recognizable. This confirms the argument of </w:t>
      </w:r>
      <w:proofErr w:type="spellStart"/>
      <w:r>
        <w:rPr>
          <w:rFonts w:eastAsia="Palatino Linotype"/>
        </w:rPr>
        <w:t>ethnopedagogical</w:t>
      </w:r>
      <w:proofErr w:type="spellEnd"/>
      <w:r>
        <w:rPr>
          <w:rFonts w:eastAsia="Palatino Linotype"/>
        </w:rPr>
        <w:t xml:space="preserve"> studies that local wisdom supports moral understanding more effectively when it is embedded in lived experience (</w:t>
      </w:r>
      <w:proofErr w:type="spellStart"/>
      <w:r>
        <w:rPr>
          <w:rFonts w:eastAsia="Palatino Linotype"/>
        </w:rPr>
        <w:t>Milandari</w:t>
      </w:r>
      <w:proofErr w:type="spellEnd"/>
      <w:r>
        <w:rPr>
          <w:rFonts w:eastAsia="Palatino Linotype"/>
        </w:rPr>
        <w:t xml:space="preserve"> et al., 2026; Sakti et al., 2024).</w:t>
      </w:r>
    </w:p>
    <w:p w14:paraId="7A87BF36" w14:textId="77777777" w:rsidR="00AF23E2" w:rsidRDefault="00000000">
      <w:pPr>
        <w:pStyle w:val="Alishlah22heading2"/>
      </w:pPr>
      <w:r>
        <w:rPr>
          <w:rFonts w:eastAsia="Palatino Linotype"/>
        </w:rPr>
        <w:t xml:space="preserve">3.3. Moral Feeling in </w:t>
      </w:r>
      <w:proofErr w:type="spellStart"/>
      <w:r>
        <w:rPr>
          <w:rFonts w:eastAsia="Palatino Linotype"/>
        </w:rPr>
        <w:t>Ujub</w:t>
      </w:r>
      <w:proofErr w:type="spellEnd"/>
      <w:r>
        <w:rPr>
          <w:rFonts w:eastAsia="Palatino Linotype"/>
        </w:rPr>
        <w:t xml:space="preserve"> </w:t>
      </w:r>
      <w:proofErr w:type="spellStart"/>
      <w:r>
        <w:rPr>
          <w:rFonts w:eastAsia="Palatino Linotype"/>
        </w:rPr>
        <w:t>Sesaji</w:t>
      </w:r>
      <w:proofErr w:type="spellEnd"/>
    </w:p>
    <w:p w14:paraId="44BF62EB" w14:textId="77777777" w:rsidR="00AF23E2" w:rsidRDefault="00000000">
      <w:pPr>
        <w:pStyle w:val="Alishlah31text"/>
      </w:pPr>
      <w:r>
        <w:rPr>
          <w:rFonts w:eastAsia="Palatino Linotype"/>
        </w:rPr>
        <w:t xml:space="preserve">Moral feeling is the affective dimension that moves ethical knowledge toward commitment. </w:t>
      </w:r>
      <w:proofErr w:type="spellStart"/>
      <w:r>
        <w:rPr>
          <w:rFonts w:eastAsia="Palatino Linotype"/>
        </w:rPr>
        <w:t>Lickona</w:t>
      </w:r>
      <w:proofErr w:type="spellEnd"/>
      <w:r>
        <w:rPr>
          <w:rFonts w:eastAsia="Palatino Linotype"/>
        </w:rPr>
        <w:t xml:space="preserve"> (1992) emphasizes that a person may know what is good but fail to act if the heart is not formed. </w:t>
      </w:r>
      <w:proofErr w:type="spellStart"/>
      <w:r>
        <w:rPr>
          <w:rFonts w:eastAsia="Palatino Linotype"/>
        </w:rPr>
        <w:t>Ujub</w:t>
      </w:r>
      <w:proofErr w:type="spellEnd"/>
      <w:r>
        <w:rPr>
          <w:rFonts w:eastAsia="Palatino Linotype"/>
        </w:rPr>
        <w:t xml:space="preserve"> </w:t>
      </w:r>
      <w:proofErr w:type="spellStart"/>
      <w:r>
        <w:rPr>
          <w:rFonts w:eastAsia="Palatino Linotype"/>
        </w:rPr>
        <w:t>Sesaji</w:t>
      </w:r>
      <w:proofErr w:type="spellEnd"/>
      <w:r>
        <w:rPr>
          <w:rFonts w:eastAsia="Palatino Linotype"/>
        </w:rPr>
        <w:t xml:space="preserve"> is especially strong in this affective dimension because it combines mother-</w:t>
      </w:r>
      <w:r>
        <w:rPr>
          <w:rFonts w:eastAsia="Palatino Linotype"/>
        </w:rPr>
        <w:lastRenderedPageBreak/>
        <w:t>tongue recitation, reverent posture, silence, rhythm, shared symbols, and communal participation. The result is not merely information about virtue, but an emotional experience of gratitude, humility, compassion, reverence, and inner peace.</w:t>
      </w:r>
    </w:p>
    <w:p w14:paraId="7D42A536" w14:textId="77777777" w:rsidR="00AF23E2" w:rsidRDefault="00000000">
      <w:pPr>
        <w:pStyle w:val="Alishlah31text"/>
      </w:pPr>
      <w:r>
        <w:rPr>
          <w:rFonts w:eastAsia="Palatino Linotype"/>
        </w:rPr>
        <w:t xml:space="preserve">The Javanese language intensifies this affective effect. Javanese contains registers, honorific forms, and moral expressions that naturally evoke respect and relational sensitivity. When Buddhist devotion is voiced in Javanese, doctrine becomes intimate rather than distant. Keeler (1984) and Sukma et al. (2025) help explain why local language matters: language is not a neutral container of meaning, but a cultural medium that shapes emotional depth, social position, and ethical self-awareness. In </w:t>
      </w:r>
      <w:proofErr w:type="spellStart"/>
      <w:r>
        <w:rPr>
          <w:rFonts w:eastAsia="Palatino Linotype"/>
        </w:rPr>
        <w:t>Ujub</w:t>
      </w:r>
      <w:proofErr w:type="spellEnd"/>
      <w:r>
        <w:rPr>
          <w:rFonts w:eastAsia="Palatino Linotype"/>
        </w:rPr>
        <w:t xml:space="preserve"> </w:t>
      </w:r>
      <w:proofErr w:type="spellStart"/>
      <w:r>
        <w:rPr>
          <w:rFonts w:eastAsia="Palatino Linotype"/>
        </w:rPr>
        <w:t>Sesaji</w:t>
      </w:r>
      <w:proofErr w:type="spellEnd"/>
      <w:r>
        <w:rPr>
          <w:rFonts w:eastAsia="Palatino Linotype"/>
        </w:rPr>
        <w:t>, participants hear moral teaching in a language that belongs to their familial and communal world.</w:t>
      </w:r>
    </w:p>
    <w:p w14:paraId="00C912A4" w14:textId="77777777" w:rsidR="00AF23E2" w:rsidRDefault="00000000">
      <w:pPr>
        <w:pStyle w:val="Alishlah31text"/>
      </w:pPr>
      <w:r>
        <w:rPr>
          <w:rFonts w:eastAsia="Palatino Linotype"/>
        </w:rPr>
        <w:t>Four affective states are especially prominent. First, reverence is cultivated toward the Buddha, ancestors, parents, elders, and the moral order. Second, gratitude is evoked through offerings of food, water, and flowers, reminding participants that life is received, sustained, and shared. Third, compassion is cultivated through prayers and intentions directed not only to the self but also to the welfare of all beings. Fourth, inner peace emerges from the ritual's meditative rhythm and focused attention. These affective states correspond closely to Buddhist ideals such as loving-kindness, compassion, appreciative joy, and equanimity.</w:t>
      </w:r>
    </w:p>
    <w:p w14:paraId="3CDCC12B" w14:textId="77777777" w:rsidR="00AF23E2" w:rsidRDefault="00000000">
      <w:pPr>
        <w:pStyle w:val="Alishlah31text"/>
      </w:pPr>
      <w:r>
        <w:rPr>
          <w:rFonts w:eastAsia="Palatino Linotype"/>
        </w:rPr>
        <w:t xml:space="preserve">Hoffman's (1996) work on empathy helps clarify the pedagogical significance of this process. Empathic concern grows through repeated emotional activation, especially when people encounter practices that direct attention toward the needs and dignity of others. </w:t>
      </w:r>
      <w:proofErr w:type="spellStart"/>
      <w:r>
        <w:rPr>
          <w:rFonts w:eastAsia="Palatino Linotype"/>
        </w:rPr>
        <w:t>Ujub</w:t>
      </w:r>
      <w:proofErr w:type="spellEnd"/>
      <w:r>
        <w:rPr>
          <w:rFonts w:eastAsia="Palatino Linotype"/>
        </w:rPr>
        <w:t xml:space="preserve"> </w:t>
      </w:r>
      <w:proofErr w:type="spellStart"/>
      <w:r>
        <w:rPr>
          <w:rFonts w:eastAsia="Palatino Linotype"/>
        </w:rPr>
        <w:t>Sesaji</w:t>
      </w:r>
      <w:proofErr w:type="spellEnd"/>
      <w:r>
        <w:rPr>
          <w:rFonts w:eastAsia="Palatino Linotype"/>
        </w:rPr>
        <w:t xml:space="preserve"> repeatedly activates such concern through verbal offerings, collective prayer, honor for parents and ancestors, and communal reflection. The emotional energy of the ritual therefore strengthens the motivational basis of moral action.</w:t>
      </w:r>
    </w:p>
    <w:p w14:paraId="7BEB732C" w14:textId="77777777" w:rsidR="00AF23E2" w:rsidRDefault="00000000">
      <w:pPr>
        <w:pStyle w:val="Alishlah31text"/>
      </w:pPr>
      <w:r>
        <w:rPr>
          <w:rFonts w:eastAsia="Palatino Linotype"/>
        </w:rPr>
        <w:t xml:space="preserve">Collective ritual also amplifies emotion. Durkheim (2016) shows that ritual can generate a shared moral energy that exceeds individual feeling. Turner et al. (2017) similarly emphasize communitas as a moment of shared belonging. In </w:t>
      </w:r>
      <w:proofErr w:type="spellStart"/>
      <w:r>
        <w:rPr>
          <w:rFonts w:eastAsia="Palatino Linotype"/>
        </w:rPr>
        <w:t>Ujub</w:t>
      </w:r>
      <w:proofErr w:type="spellEnd"/>
      <w:r>
        <w:rPr>
          <w:rFonts w:eastAsia="Palatino Linotype"/>
        </w:rPr>
        <w:t xml:space="preserve"> </w:t>
      </w:r>
      <w:proofErr w:type="spellStart"/>
      <w:r>
        <w:rPr>
          <w:rFonts w:eastAsia="Palatino Linotype"/>
        </w:rPr>
        <w:t>Sesaji</w:t>
      </w:r>
      <w:proofErr w:type="spellEnd"/>
      <w:r>
        <w:rPr>
          <w:rFonts w:eastAsia="Palatino Linotype"/>
        </w:rPr>
        <w:t>, synchronized recitation, shared posture, and common symbolism produce an affective community. Participants feel that they are part of a larger moral order. This feeling is central to character education because it binds moral knowledge to identity and belonging.</w:t>
      </w:r>
    </w:p>
    <w:p w14:paraId="12AE6183" w14:textId="77777777" w:rsidR="00AF23E2" w:rsidRDefault="00000000">
      <w:pPr>
        <w:pStyle w:val="Alishlah22heading2"/>
      </w:pPr>
      <w:r>
        <w:rPr>
          <w:rFonts w:eastAsia="Palatino Linotype"/>
        </w:rPr>
        <w:t xml:space="preserve">3.4. Moral Action in </w:t>
      </w:r>
      <w:proofErr w:type="spellStart"/>
      <w:r>
        <w:rPr>
          <w:rFonts w:eastAsia="Palatino Linotype"/>
        </w:rPr>
        <w:t>Ujub</w:t>
      </w:r>
      <w:proofErr w:type="spellEnd"/>
      <w:r>
        <w:rPr>
          <w:rFonts w:eastAsia="Palatino Linotype"/>
        </w:rPr>
        <w:t xml:space="preserve"> </w:t>
      </w:r>
      <w:proofErr w:type="spellStart"/>
      <w:r>
        <w:rPr>
          <w:rFonts w:eastAsia="Palatino Linotype"/>
        </w:rPr>
        <w:t>Sesaji</w:t>
      </w:r>
      <w:proofErr w:type="spellEnd"/>
    </w:p>
    <w:p w14:paraId="46DFA240" w14:textId="77777777" w:rsidR="00AF23E2" w:rsidRDefault="00000000">
      <w:pPr>
        <w:pStyle w:val="Alishlah31text"/>
      </w:pPr>
      <w:r>
        <w:rPr>
          <w:rFonts w:eastAsia="Palatino Linotype"/>
        </w:rPr>
        <w:t xml:space="preserve">Moral action is the point at which moral knowledge and moral feeling become visible conduct. For </w:t>
      </w:r>
      <w:proofErr w:type="spellStart"/>
      <w:r>
        <w:rPr>
          <w:rFonts w:eastAsia="Palatino Linotype"/>
        </w:rPr>
        <w:t>Lickona</w:t>
      </w:r>
      <w:proofErr w:type="spellEnd"/>
      <w:r>
        <w:rPr>
          <w:rFonts w:eastAsia="Palatino Linotype"/>
        </w:rPr>
        <w:t xml:space="preserve"> (1992), moral action consists of competence, will, and habit. Competence refers to the practical capacity to do what is right; will refers to the motivational strength to act ethically; habit refers to repeated practice until virtue becomes stable. </w:t>
      </w:r>
      <w:proofErr w:type="spellStart"/>
      <w:r>
        <w:rPr>
          <w:rFonts w:eastAsia="Palatino Linotype"/>
        </w:rPr>
        <w:t>Ujub</w:t>
      </w:r>
      <w:proofErr w:type="spellEnd"/>
      <w:r>
        <w:rPr>
          <w:rFonts w:eastAsia="Palatino Linotype"/>
        </w:rPr>
        <w:t xml:space="preserve"> </w:t>
      </w:r>
      <w:proofErr w:type="spellStart"/>
      <w:r>
        <w:rPr>
          <w:rFonts w:eastAsia="Palatino Linotype"/>
        </w:rPr>
        <w:t>Sesaji</w:t>
      </w:r>
      <w:proofErr w:type="spellEnd"/>
      <w:r>
        <w:rPr>
          <w:rFonts w:eastAsia="Palatino Linotype"/>
        </w:rPr>
        <w:t xml:space="preserve"> cultivates all three dimensions because it is not a one-time statement of belief, but a repeated communal practice that trains participants in concrete moral behavior.</w:t>
      </w:r>
    </w:p>
    <w:p w14:paraId="0C604BEB" w14:textId="77777777" w:rsidR="00AF23E2" w:rsidRDefault="00000000">
      <w:pPr>
        <w:pStyle w:val="Alishlah31text"/>
      </w:pPr>
      <w:r>
        <w:rPr>
          <w:rFonts w:eastAsia="Palatino Linotype"/>
        </w:rPr>
        <w:t xml:space="preserve">The first form of moral action is cooperation. Preparing </w:t>
      </w:r>
      <w:proofErr w:type="spellStart"/>
      <w:r>
        <w:rPr>
          <w:rFonts w:eastAsia="Palatino Linotype"/>
        </w:rPr>
        <w:t>sesaji</w:t>
      </w:r>
      <w:proofErr w:type="spellEnd"/>
      <w:r>
        <w:rPr>
          <w:rFonts w:eastAsia="Palatino Linotype"/>
        </w:rPr>
        <w:t xml:space="preserve"> requires gotong royong. Community members gather objects, arrange offerings, prepare ritual space, and coordinate responsibilities. These acts rehearse solidarity, mutual respect, and social responsibility. The second form is discipline. Regular attendance at Puja Bakti and careful participation in </w:t>
      </w:r>
      <w:proofErr w:type="spellStart"/>
      <w:r>
        <w:rPr>
          <w:rFonts w:eastAsia="Palatino Linotype"/>
        </w:rPr>
        <w:t>Ujub</w:t>
      </w:r>
      <w:proofErr w:type="spellEnd"/>
      <w:r>
        <w:rPr>
          <w:rFonts w:eastAsia="Palatino Linotype"/>
        </w:rPr>
        <w:t xml:space="preserve"> </w:t>
      </w:r>
      <w:proofErr w:type="spellStart"/>
      <w:r>
        <w:rPr>
          <w:rFonts w:eastAsia="Palatino Linotype"/>
        </w:rPr>
        <w:t>Sesaji</w:t>
      </w:r>
      <w:proofErr w:type="spellEnd"/>
      <w:r>
        <w:rPr>
          <w:rFonts w:eastAsia="Palatino Linotype"/>
        </w:rPr>
        <w:t xml:space="preserve"> require commitment over time. The third form is sincerity. Participants are expected to perform gestures and recitations not mechanically, but with </w:t>
      </w:r>
      <w:proofErr w:type="spellStart"/>
      <w:r>
        <w:rPr>
          <w:rFonts w:eastAsia="Palatino Linotype"/>
        </w:rPr>
        <w:t>ketulusan</w:t>
      </w:r>
      <w:proofErr w:type="spellEnd"/>
      <w:r>
        <w:rPr>
          <w:rFonts w:eastAsia="Palatino Linotype"/>
        </w:rPr>
        <w:t>, a sincere orientation of the heart.</w:t>
      </w:r>
    </w:p>
    <w:p w14:paraId="654D219A" w14:textId="77777777" w:rsidR="00AF23E2" w:rsidRDefault="00000000">
      <w:pPr>
        <w:pStyle w:val="Alishlah31text"/>
      </w:pPr>
      <w:r>
        <w:rPr>
          <w:rFonts w:eastAsia="Palatino Linotype"/>
        </w:rPr>
        <w:t xml:space="preserve">The fourth form is care for others. Before, during, and after the ceremony, community members assist elders, guide younger participants, share food, and maintain social harmony. Compassion becomes practice rather than slogan. The fifth form is intergenerational responsibility. Elders transmit ritual knowledge to younger members by teaching the meaning of offerings, correcting ritual sequence, and explaining the moral language of the </w:t>
      </w:r>
      <w:proofErr w:type="spellStart"/>
      <w:r>
        <w:rPr>
          <w:rFonts w:eastAsia="Palatino Linotype"/>
        </w:rPr>
        <w:t>Ujub</w:t>
      </w:r>
      <w:proofErr w:type="spellEnd"/>
      <w:r>
        <w:rPr>
          <w:rFonts w:eastAsia="Palatino Linotype"/>
        </w:rPr>
        <w:t>. In this way, the ritual preserves cultural memory while also forming new moral subjects.</w:t>
      </w:r>
    </w:p>
    <w:p w14:paraId="5B0F09BA" w14:textId="77777777" w:rsidR="00AF23E2" w:rsidRDefault="00000000">
      <w:pPr>
        <w:pStyle w:val="Alishlah31text"/>
      </w:pPr>
      <w:r>
        <w:rPr>
          <w:rFonts w:eastAsia="Palatino Linotype"/>
        </w:rPr>
        <w:lastRenderedPageBreak/>
        <w:t xml:space="preserve">This process resembles Aristotle's understanding of habituation, in which virtue is formed through repeated virtuous acts until it becomes a stable disposition (Crisp, 2014). </w:t>
      </w:r>
      <w:proofErr w:type="spellStart"/>
      <w:r>
        <w:rPr>
          <w:rFonts w:eastAsia="Palatino Linotype"/>
        </w:rPr>
        <w:t>Ujub</w:t>
      </w:r>
      <w:proofErr w:type="spellEnd"/>
      <w:r>
        <w:rPr>
          <w:rFonts w:eastAsia="Palatino Linotype"/>
        </w:rPr>
        <w:t xml:space="preserve"> </w:t>
      </w:r>
      <w:proofErr w:type="spellStart"/>
      <w:r>
        <w:rPr>
          <w:rFonts w:eastAsia="Palatino Linotype"/>
        </w:rPr>
        <w:t>Sesaji</w:t>
      </w:r>
      <w:proofErr w:type="spellEnd"/>
      <w:r>
        <w:rPr>
          <w:rFonts w:eastAsia="Palatino Linotype"/>
        </w:rPr>
        <w:t xml:space="preserve"> is a ritualized form of moral habituation. Over months and years, participants learn to cooperate, attend, give, respect, remember, and care. The values are not simply taught; they are practiced until they become socially expected and personally meaningful. Character is formed through repetition, but the repetition remains intelligent because it is supported by symbolic explanation and affective depth.</w:t>
      </w:r>
    </w:p>
    <w:p w14:paraId="6AF51D47" w14:textId="77777777" w:rsidR="00AF23E2" w:rsidRDefault="00000000">
      <w:pPr>
        <w:pStyle w:val="Alishlah31text"/>
      </w:pPr>
      <w:r>
        <w:rPr>
          <w:rFonts w:eastAsia="Palatino Linotype"/>
        </w:rPr>
        <w:t xml:space="preserve">In Buddhist terms, this dimension corresponds to practical realization. Moral teaching must move from understanding into practice. </w:t>
      </w:r>
      <w:proofErr w:type="spellStart"/>
      <w:r>
        <w:rPr>
          <w:rFonts w:eastAsia="Palatino Linotype"/>
        </w:rPr>
        <w:t>Ujub</w:t>
      </w:r>
      <w:proofErr w:type="spellEnd"/>
      <w:r>
        <w:rPr>
          <w:rFonts w:eastAsia="Palatino Linotype"/>
        </w:rPr>
        <w:t xml:space="preserve"> </w:t>
      </w:r>
      <w:proofErr w:type="spellStart"/>
      <w:r>
        <w:rPr>
          <w:rFonts w:eastAsia="Palatino Linotype"/>
        </w:rPr>
        <w:t>Sesaji</w:t>
      </w:r>
      <w:proofErr w:type="spellEnd"/>
      <w:r>
        <w:rPr>
          <w:rFonts w:eastAsia="Palatino Linotype"/>
        </w:rPr>
        <w:t xml:space="preserve"> enables that movement by locating ethical values in public action. It turns gratitude into offering, reverence into posture, compassion into prayer, solidarity into preparation, and responsibility into intergenerational transmission. This is why the ritual can be described as moral action in community form.</w:t>
      </w:r>
    </w:p>
    <w:p w14:paraId="58711E88" w14:textId="77777777" w:rsidR="00AF23E2" w:rsidRDefault="00000000">
      <w:pPr>
        <w:pStyle w:val="Alishlah22heading2"/>
      </w:pPr>
      <w:r>
        <w:rPr>
          <w:rFonts w:eastAsia="Palatino Linotype"/>
        </w:rPr>
        <w:t>3.5. Educational and Policy Implications</w:t>
      </w:r>
    </w:p>
    <w:p w14:paraId="06AD3D6C" w14:textId="77777777" w:rsidR="00AF23E2" w:rsidRDefault="00000000">
      <w:pPr>
        <w:pStyle w:val="Alishlah31text"/>
      </w:pPr>
      <w:r>
        <w:rPr>
          <w:rFonts w:eastAsia="Palatino Linotype"/>
        </w:rPr>
        <w:t xml:space="preserve">The findings have theoretical, pedagogical, and policy implications. Theoretically, the study extends </w:t>
      </w:r>
      <w:proofErr w:type="spellStart"/>
      <w:r>
        <w:rPr>
          <w:rFonts w:eastAsia="Palatino Linotype"/>
        </w:rPr>
        <w:t>Lickona's</w:t>
      </w:r>
      <w:proofErr w:type="spellEnd"/>
      <w:r>
        <w:rPr>
          <w:rFonts w:eastAsia="Palatino Linotype"/>
        </w:rPr>
        <w:t xml:space="preserve"> model beyond its usual school-based application. The case of </w:t>
      </w:r>
      <w:proofErr w:type="spellStart"/>
      <w:r>
        <w:rPr>
          <w:rFonts w:eastAsia="Palatino Linotype"/>
        </w:rPr>
        <w:t>Ujub</w:t>
      </w:r>
      <w:proofErr w:type="spellEnd"/>
      <w:r>
        <w:rPr>
          <w:rFonts w:eastAsia="Palatino Linotype"/>
        </w:rPr>
        <w:t xml:space="preserve"> </w:t>
      </w:r>
      <w:proofErr w:type="spellStart"/>
      <w:r>
        <w:rPr>
          <w:rFonts w:eastAsia="Palatino Linotype"/>
        </w:rPr>
        <w:t>Sesaji</w:t>
      </w:r>
      <w:proofErr w:type="spellEnd"/>
      <w:r>
        <w:rPr>
          <w:rFonts w:eastAsia="Palatino Linotype"/>
        </w:rPr>
        <w:t xml:space="preserve"> shows that moral knowing, moral feeling, and moral action can be integrated within indigenous religious ritual. This does not mean that ritual should replace formal education, but it does show that character education has wider social locations than classrooms. Indigenous ritual can be understood as a non-formal pedagogy that integrates symbols, emotions, habits, and communal memory.</w:t>
      </w:r>
    </w:p>
    <w:p w14:paraId="3F1A0EEF" w14:textId="77777777" w:rsidR="00AF23E2" w:rsidRDefault="00000000">
      <w:pPr>
        <w:pStyle w:val="Alishlah31text"/>
      </w:pPr>
      <w:r>
        <w:rPr>
          <w:rFonts w:eastAsia="Palatino Linotype"/>
        </w:rPr>
        <w:t xml:space="preserve">Pedagogically, Buddhist leaders, religious educators, and community teachers can use </w:t>
      </w:r>
      <w:proofErr w:type="spellStart"/>
      <w:r>
        <w:rPr>
          <w:rFonts w:eastAsia="Palatino Linotype"/>
        </w:rPr>
        <w:t>Ujub</w:t>
      </w:r>
      <w:proofErr w:type="spellEnd"/>
      <w:r>
        <w:rPr>
          <w:rFonts w:eastAsia="Palatino Linotype"/>
        </w:rPr>
        <w:t xml:space="preserve"> </w:t>
      </w:r>
      <w:proofErr w:type="spellStart"/>
      <w:r>
        <w:rPr>
          <w:rFonts w:eastAsia="Palatino Linotype"/>
        </w:rPr>
        <w:t>Sesaji</w:t>
      </w:r>
      <w:proofErr w:type="spellEnd"/>
      <w:r>
        <w:rPr>
          <w:rFonts w:eastAsia="Palatino Linotype"/>
        </w:rPr>
        <w:t xml:space="preserve"> more deliberately as a character education resource. The symbolic meanings of offerings can be made explicit; participants can be guided to reflect on the emotions generated by the ritual; and community discussions can connect ritual values to daily behavior. Such strategies would strengthen all three dimensions of </w:t>
      </w:r>
      <w:proofErr w:type="spellStart"/>
      <w:r>
        <w:rPr>
          <w:rFonts w:eastAsia="Palatino Linotype"/>
        </w:rPr>
        <w:t>Lickona's</w:t>
      </w:r>
      <w:proofErr w:type="spellEnd"/>
      <w:r>
        <w:rPr>
          <w:rFonts w:eastAsia="Palatino Linotype"/>
        </w:rPr>
        <w:t xml:space="preserve"> framework. They would also help younger generations understand that ritual is not empty repetition, but a meaningful practice of moral formation.</w:t>
      </w:r>
    </w:p>
    <w:p w14:paraId="65BBB13A" w14:textId="77777777" w:rsidR="00AF23E2" w:rsidRDefault="00000000">
      <w:pPr>
        <w:pStyle w:val="Alishlah31text"/>
      </w:pPr>
      <w:r>
        <w:rPr>
          <w:rFonts w:eastAsia="Palatino Linotype"/>
        </w:rPr>
        <w:t xml:space="preserve">At the policy level, the findings support Indonesia's Character Education Strengthening program, </w:t>
      </w:r>
      <w:proofErr w:type="spellStart"/>
      <w:r>
        <w:rPr>
          <w:rFonts w:eastAsia="Palatino Linotype"/>
        </w:rPr>
        <w:t>Penguatan</w:t>
      </w:r>
      <w:proofErr w:type="spellEnd"/>
      <w:r>
        <w:rPr>
          <w:rFonts w:eastAsia="Palatino Linotype"/>
        </w:rPr>
        <w:t xml:space="preserve"> Pendidikan </w:t>
      </w:r>
      <w:proofErr w:type="spellStart"/>
      <w:r>
        <w:rPr>
          <w:rFonts w:eastAsia="Palatino Linotype"/>
        </w:rPr>
        <w:t>Karakter</w:t>
      </w:r>
      <w:proofErr w:type="spellEnd"/>
      <w:r>
        <w:rPr>
          <w:rFonts w:eastAsia="Palatino Linotype"/>
        </w:rPr>
        <w:t xml:space="preserve">, established through Presidential Regulation Number 87 of 2017. The program encourages the integration of religious, cultural, and community values in character education. </w:t>
      </w:r>
      <w:proofErr w:type="spellStart"/>
      <w:r>
        <w:rPr>
          <w:rFonts w:eastAsia="Palatino Linotype"/>
        </w:rPr>
        <w:t>Ujub</w:t>
      </w:r>
      <w:proofErr w:type="spellEnd"/>
      <w:r>
        <w:rPr>
          <w:rFonts w:eastAsia="Palatino Linotype"/>
        </w:rPr>
        <w:t xml:space="preserve"> </w:t>
      </w:r>
      <w:proofErr w:type="spellStart"/>
      <w:r>
        <w:rPr>
          <w:rFonts w:eastAsia="Palatino Linotype"/>
        </w:rPr>
        <w:t>Sesaji</w:t>
      </w:r>
      <w:proofErr w:type="spellEnd"/>
      <w:r>
        <w:rPr>
          <w:rFonts w:eastAsia="Palatino Linotype"/>
        </w:rPr>
        <w:t xml:space="preserve"> represents precisely the kind of living local wisdom that this policy framework should recognize. However, such traditions are often underused because policy implementation tends to privilege standardized school programs over community-based moral resources. Stronger collaboration among schools, Buddhist communities, cultural institutions, and local governments could help incorporate indigenous pedagogical resources into broader character education initiatives.</w:t>
      </w:r>
    </w:p>
    <w:p w14:paraId="6C8AE612" w14:textId="77777777" w:rsidR="00AF23E2" w:rsidRDefault="00000000">
      <w:pPr>
        <w:pStyle w:val="Alishlah21heading1"/>
      </w:pPr>
      <w:r>
        <w:rPr>
          <w:rFonts w:eastAsia="Palatino Linotype"/>
        </w:rPr>
        <w:t>CONCLUSION</w:t>
      </w:r>
    </w:p>
    <w:p w14:paraId="27A91EE0" w14:textId="77777777" w:rsidR="00AF23E2" w:rsidRDefault="00000000">
      <w:pPr>
        <w:pStyle w:val="Alishlah31text"/>
      </w:pPr>
      <w:r>
        <w:rPr>
          <w:rFonts w:eastAsia="Palatino Linotype"/>
        </w:rPr>
        <w:t xml:space="preserve">This study demonstrates that </w:t>
      </w:r>
      <w:proofErr w:type="spellStart"/>
      <w:r>
        <w:rPr>
          <w:rFonts w:eastAsia="Palatino Linotype"/>
        </w:rPr>
        <w:t>Ujub</w:t>
      </w:r>
      <w:proofErr w:type="spellEnd"/>
      <w:r>
        <w:rPr>
          <w:rFonts w:eastAsia="Palatino Linotype"/>
        </w:rPr>
        <w:t xml:space="preserve"> </w:t>
      </w:r>
      <w:proofErr w:type="spellStart"/>
      <w:r>
        <w:rPr>
          <w:rFonts w:eastAsia="Palatino Linotype"/>
        </w:rPr>
        <w:t>Sesaji</w:t>
      </w:r>
      <w:proofErr w:type="spellEnd"/>
      <w:r>
        <w:rPr>
          <w:rFonts w:eastAsia="Palatino Linotype"/>
        </w:rPr>
        <w:t xml:space="preserve">, as part of Javanese-language Puja Bakti in the Buddhist community of </w:t>
      </w:r>
      <w:proofErr w:type="spellStart"/>
      <w:r>
        <w:rPr>
          <w:rFonts w:eastAsia="Palatino Linotype"/>
        </w:rPr>
        <w:t>Boyolali</w:t>
      </w:r>
      <w:proofErr w:type="spellEnd"/>
      <w:r>
        <w:rPr>
          <w:rFonts w:eastAsia="Palatino Linotype"/>
        </w:rPr>
        <w:t xml:space="preserve"> Regency, is not merely a devotional or cultural ceremony. It is a coherent and culturally grounded system of character education. Through Thomas Lickona's framework, the ritual can be understood as an integrated site of moral knowing, moral feeling, and moral action.</w:t>
      </w:r>
    </w:p>
    <w:p w14:paraId="1E12453A" w14:textId="77777777" w:rsidR="00AF23E2" w:rsidRDefault="00000000">
      <w:pPr>
        <w:pStyle w:val="Alishlah31text"/>
      </w:pPr>
      <w:r>
        <w:rPr>
          <w:rFonts w:eastAsia="Palatino Linotype"/>
        </w:rPr>
        <w:t xml:space="preserve">Moral knowing is cultivated through symbolic interpretation. Candles, clear water, fruits, flowers, and tumpeng function as moral texts that teach filial responsibility, purity, causality, impermanence, wisdom, resilience, and communal blessing. Moral feeling is cultivated through Javanese recitation, reverent posture, gratitude, compassion, humility, and shared ritual emotion. Moral action is cultivated through cooperation, discipline, sincerity, mutual care, and intergenerational transmission. Together, these dimensions show that </w:t>
      </w:r>
      <w:proofErr w:type="spellStart"/>
      <w:r>
        <w:rPr>
          <w:rFonts w:eastAsia="Palatino Linotype"/>
        </w:rPr>
        <w:t>Ujub</w:t>
      </w:r>
      <w:proofErr w:type="spellEnd"/>
      <w:r>
        <w:rPr>
          <w:rFonts w:eastAsia="Palatino Linotype"/>
        </w:rPr>
        <w:t xml:space="preserve"> </w:t>
      </w:r>
      <w:proofErr w:type="spellStart"/>
      <w:r>
        <w:rPr>
          <w:rFonts w:eastAsia="Palatino Linotype"/>
        </w:rPr>
        <w:t>Sesaji</w:t>
      </w:r>
      <w:proofErr w:type="spellEnd"/>
      <w:r>
        <w:rPr>
          <w:rFonts w:eastAsia="Palatino Linotype"/>
        </w:rPr>
        <w:t xml:space="preserve"> works as a living moral curriculum.</w:t>
      </w:r>
    </w:p>
    <w:p w14:paraId="3DF69158" w14:textId="77777777" w:rsidR="00AF23E2" w:rsidRDefault="00000000">
      <w:pPr>
        <w:pStyle w:val="Alishlah31text"/>
      </w:pPr>
      <w:r>
        <w:rPr>
          <w:rFonts w:eastAsia="Palatino Linotype"/>
        </w:rPr>
        <w:t xml:space="preserve">The study contributes to character education theory by showing that </w:t>
      </w:r>
      <w:proofErr w:type="spellStart"/>
      <w:r>
        <w:rPr>
          <w:rFonts w:eastAsia="Palatino Linotype"/>
        </w:rPr>
        <w:t>Lickona's</w:t>
      </w:r>
      <w:proofErr w:type="spellEnd"/>
      <w:r>
        <w:rPr>
          <w:rFonts w:eastAsia="Palatino Linotype"/>
        </w:rPr>
        <w:t xml:space="preserve"> model can illuminate non-formal and indigenous forms of pedagogy. It also contributes to Buddhist and </w:t>
      </w:r>
      <w:r>
        <w:rPr>
          <w:rFonts w:eastAsia="Palatino Linotype"/>
        </w:rPr>
        <w:lastRenderedPageBreak/>
        <w:t>Javanese studies by demonstrating that syncretic ritual practices are not merely residues of local tradition, but active vehicles of ethical formation. For education policy, the findings suggest that Indonesia's character education agenda should pay closer attention to living religious-cultural traditions as resources for community-based moral learning.</w:t>
      </w:r>
    </w:p>
    <w:p w14:paraId="3732BD8D" w14:textId="77777777" w:rsidR="00AF23E2" w:rsidRDefault="00000000">
      <w:pPr>
        <w:pStyle w:val="Alishlah31text"/>
      </w:pPr>
      <w:r>
        <w:rPr>
          <w:rFonts w:eastAsia="Palatino Linotype"/>
        </w:rPr>
        <w:t xml:space="preserve">Future research should compare </w:t>
      </w:r>
      <w:proofErr w:type="spellStart"/>
      <w:r>
        <w:rPr>
          <w:rFonts w:eastAsia="Palatino Linotype"/>
        </w:rPr>
        <w:t>Ujub</w:t>
      </w:r>
      <w:proofErr w:type="spellEnd"/>
      <w:r>
        <w:rPr>
          <w:rFonts w:eastAsia="Palatino Linotype"/>
        </w:rPr>
        <w:t xml:space="preserve"> </w:t>
      </w:r>
      <w:proofErr w:type="spellStart"/>
      <w:r>
        <w:rPr>
          <w:rFonts w:eastAsia="Palatino Linotype"/>
        </w:rPr>
        <w:t>Sesaji</w:t>
      </w:r>
      <w:proofErr w:type="spellEnd"/>
      <w:r>
        <w:rPr>
          <w:rFonts w:eastAsia="Palatino Linotype"/>
        </w:rPr>
        <w:t xml:space="preserve"> with other syncretic ritual traditions in Indonesia and examine how indigenous pedagogical resources may be responsibly integrated into formal and non-formal educational programs without reducing their ritual depth. Such research would strengthen the bridge between cultural preservation, religious education, and character formation.</w:t>
      </w:r>
    </w:p>
    <w:p w14:paraId="309EA93C" w14:textId="77777777" w:rsidR="00AF23E2" w:rsidRDefault="00000000">
      <w:pPr>
        <w:pStyle w:val="Alishlah62Acknowledgments"/>
      </w:pPr>
      <w:r>
        <w:rPr>
          <w:rFonts w:eastAsia="Palatino Linotype"/>
        </w:rPr>
        <w:t>Acknowledgments: Not applicable.</w:t>
      </w:r>
    </w:p>
    <w:p w14:paraId="51CF228F" w14:textId="77777777" w:rsidR="00AF23E2" w:rsidRDefault="00000000">
      <w:pPr>
        <w:pStyle w:val="Alishlah62Acknowledgments"/>
      </w:pPr>
      <w:r>
        <w:rPr>
          <w:rFonts w:eastAsia="Palatino Linotype"/>
        </w:rPr>
        <w:t>Conflicts of Interest: The author declares no conflict of interest.</w:t>
      </w:r>
    </w:p>
    <w:p w14:paraId="126DB7E5" w14:textId="77777777" w:rsidR="00AF23E2" w:rsidRDefault="00000000">
      <w:pPr>
        <w:pStyle w:val="Alishlah21heading1"/>
      </w:pPr>
      <w:r>
        <w:rPr>
          <w:rFonts w:eastAsia="Palatino Linotype"/>
        </w:rPr>
        <w:t>REFERENCES</w:t>
      </w:r>
    </w:p>
    <w:p w14:paraId="16348DE8" w14:textId="77777777" w:rsidR="00AF23E2" w:rsidRDefault="00000000">
      <w:pPr>
        <w:pStyle w:val="Alishlah71References"/>
        <w:rPr>
          <w:rFonts w:hint="eastAsia"/>
        </w:rPr>
      </w:pPr>
      <w:proofErr w:type="spellStart"/>
      <w:r>
        <w:rPr>
          <w:rFonts w:eastAsia="Palatino Linotype"/>
        </w:rPr>
        <w:t>Andriyanto</w:t>
      </w:r>
      <w:proofErr w:type="spellEnd"/>
      <w:r>
        <w:rPr>
          <w:rFonts w:eastAsia="Palatino Linotype"/>
        </w:rPr>
        <w:t xml:space="preserve">, O. D., </w:t>
      </w:r>
      <w:proofErr w:type="spellStart"/>
      <w:r>
        <w:rPr>
          <w:rFonts w:eastAsia="Palatino Linotype"/>
        </w:rPr>
        <w:t>Subandiyah</w:t>
      </w:r>
      <w:proofErr w:type="spellEnd"/>
      <w:r>
        <w:rPr>
          <w:rFonts w:eastAsia="Palatino Linotype"/>
        </w:rPr>
        <w:t>, H., &amp; Hardika, M. (2022). Ethic Values in Modern Javanese Literature Works: Identity and Character Education in the Digital Era. Eurasian Journal of Applied Linguistics, 8(3), 106-119.</w:t>
      </w:r>
    </w:p>
    <w:p w14:paraId="7934BC38" w14:textId="77777777" w:rsidR="00AF23E2" w:rsidRDefault="00000000">
      <w:pPr>
        <w:pStyle w:val="Alishlah71References"/>
        <w:rPr>
          <w:rFonts w:hint="eastAsia"/>
        </w:rPr>
      </w:pPr>
      <w:proofErr w:type="spellStart"/>
      <w:r>
        <w:rPr>
          <w:rFonts w:eastAsia="Palatino Linotype"/>
        </w:rPr>
        <w:t>Ansori</w:t>
      </w:r>
      <w:proofErr w:type="spellEnd"/>
      <w:r>
        <w:rPr>
          <w:rFonts w:eastAsia="Palatino Linotype"/>
        </w:rPr>
        <w:t xml:space="preserve">, Y. Z., Agustin, M., </w:t>
      </w:r>
      <w:proofErr w:type="spellStart"/>
      <w:r>
        <w:rPr>
          <w:rFonts w:eastAsia="Palatino Linotype"/>
        </w:rPr>
        <w:t>Jatisunda</w:t>
      </w:r>
      <w:proofErr w:type="spellEnd"/>
      <w:r>
        <w:rPr>
          <w:rFonts w:eastAsia="Palatino Linotype"/>
        </w:rPr>
        <w:t xml:space="preserve">, M. G., &amp; Azman, M. N. A. (2025). Integrating </w:t>
      </w:r>
      <w:proofErr w:type="spellStart"/>
      <w:r>
        <w:rPr>
          <w:rFonts w:eastAsia="Palatino Linotype"/>
        </w:rPr>
        <w:t>Silih</w:t>
      </w:r>
      <w:proofErr w:type="spellEnd"/>
      <w:r>
        <w:rPr>
          <w:rFonts w:eastAsia="Palatino Linotype"/>
        </w:rPr>
        <w:t xml:space="preserve"> Asah, </w:t>
      </w:r>
      <w:proofErr w:type="spellStart"/>
      <w:r>
        <w:rPr>
          <w:rFonts w:eastAsia="Palatino Linotype"/>
        </w:rPr>
        <w:t>Silih</w:t>
      </w:r>
      <w:proofErr w:type="spellEnd"/>
      <w:r>
        <w:rPr>
          <w:rFonts w:eastAsia="Palatino Linotype"/>
        </w:rPr>
        <w:t xml:space="preserve"> Asih, and </w:t>
      </w:r>
      <w:proofErr w:type="spellStart"/>
      <w:r>
        <w:rPr>
          <w:rFonts w:eastAsia="Palatino Linotype"/>
        </w:rPr>
        <w:t>Silih</w:t>
      </w:r>
      <w:proofErr w:type="spellEnd"/>
      <w:r>
        <w:rPr>
          <w:rFonts w:eastAsia="Palatino Linotype"/>
        </w:rPr>
        <w:t xml:space="preserve"> </w:t>
      </w:r>
      <w:proofErr w:type="spellStart"/>
      <w:r>
        <w:rPr>
          <w:rFonts w:eastAsia="Palatino Linotype"/>
        </w:rPr>
        <w:t>Asuh</w:t>
      </w:r>
      <w:proofErr w:type="spellEnd"/>
      <w:r>
        <w:rPr>
          <w:rFonts w:eastAsia="Palatino Linotype"/>
        </w:rPr>
        <w:t xml:space="preserve"> in Primary School Character Education. </w:t>
      </w:r>
      <w:proofErr w:type="spellStart"/>
      <w:r>
        <w:rPr>
          <w:rFonts w:eastAsia="Palatino Linotype"/>
        </w:rPr>
        <w:t>Profesi</w:t>
      </w:r>
      <w:proofErr w:type="spellEnd"/>
      <w:r>
        <w:rPr>
          <w:rFonts w:eastAsia="Palatino Linotype"/>
        </w:rPr>
        <w:t xml:space="preserve"> Pendidikan Dasar, 321-337. https://doi.org/10.23917/ppd.v12i3.12143</w:t>
      </w:r>
    </w:p>
    <w:p w14:paraId="7725A05C" w14:textId="77777777" w:rsidR="00AF23E2" w:rsidRDefault="00000000">
      <w:pPr>
        <w:pStyle w:val="Alishlah71References"/>
        <w:rPr>
          <w:rFonts w:hint="eastAsia"/>
        </w:rPr>
      </w:pPr>
      <w:proofErr w:type="spellStart"/>
      <w:r>
        <w:rPr>
          <w:rFonts w:eastAsia="Palatino Linotype"/>
        </w:rPr>
        <w:t>Arjaya</w:t>
      </w:r>
      <w:proofErr w:type="spellEnd"/>
      <w:r>
        <w:rPr>
          <w:rFonts w:eastAsia="Palatino Linotype"/>
        </w:rPr>
        <w:t xml:space="preserve">, I. B. A., </w:t>
      </w:r>
      <w:proofErr w:type="spellStart"/>
      <w:r>
        <w:rPr>
          <w:rFonts w:eastAsia="Palatino Linotype"/>
        </w:rPr>
        <w:t>Suastra</w:t>
      </w:r>
      <w:proofErr w:type="spellEnd"/>
      <w:r>
        <w:rPr>
          <w:rFonts w:eastAsia="Palatino Linotype"/>
        </w:rPr>
        <w:t xml:space="preserve">, I. W., </w:t>
      </w:r>
      <w:proofErr w:type="spellStart"/>
      <w:r>
        <w:rPr>
          <w:rFonts w:eastAsia="Palatino Linotype"/>
        </w:rPr>
        <w:t>Redhana</w:t>
      </w:r>
      <w:proofErr w:type="spellEnd"/>
      <w:r>
        <w:rPr>
          <w:rFonts w:eastAsia="Palatino Linotype"/>
        </w:rPr>
        <w:t xml:space="preserve">, I. W., &amp; </w:t>
      </w:r>
      <w:proofErr w:type="spellStart"/>
      <w:r>
        <w:rPr>
          <w:rFonts w:eastAsia="Palatino Linotype"/>
        </w:rPr>
        <w:t>Sudiatmika</w:t>
      </w:r>
      <w:proofErr w:type="spellEnd"/>
      <w:r>
        <w:rPr>
          <w:rFonts w:eastAsia="Palatino Linotype"/>
        </w:rPr>
        <w:t>, A. A. I. A. R. (2024). Global trends in local wisdom integration in education: A comprehensive bibliometric mapping analysis from 2020 to 2024. International Journal of Learning, Teaching and Educational Research, 23(7), 120-140. https://doi.org/10.26803/ijlter.23.7.7</w:t>
      </w:r>
    </w:p>
    <w:p w14:paraId="7985D88A" w14:textId="77777777" w:rsidR="00AF23E2" w:rsidRDefault="00000000">
      <w:pPr>
        <w:pStyle w:val="Alishlah71References"/>
        <w:rPr>
          <w:rFonts w:hint="eastAsia"/>
        </w:rPr>
      </w:pPr>
      <w:proofErr w:type="spellStart"/>
      <w:r>
        <w:rPr>
          <w:rFonts w:eastAsia="Palatino Linotype"/>
        </w:rPr>
        <w:t>Aulia</w:t>
      </w:r>
      <w:proofErr w:type="spellEnd"/>
      <w:r>
        <w:rPr>
          <w:rFonts w:eastAsia="Palatino Linotype"/>
        </w:rPr>
        <w:t xml:space="preserve">, M., &amp; </w:t>
      </w:r>
      <w:proofErr w:type="spellStart"/>
      <w:r>
        <w:rPr>
          <w:rFonts w:eastAsia="Palatino Linotype"/>
        </w:rPr>
        <w:t>Anshory</w:t>
      </w:r>
      <w:proofErr w:type="spellEnd"/>
      <w:r>
        <w:rPr>
          <w:rFonts w:eastAsia="Palatino Linotype"/>
        </w:rPr>
        <w:t>, T. F. (2025). Character Education: A Hybrid Systematic Literature Review and Bibliometric Analysis. Journal of Research, Innovation, and Strategies for Education (RISE), 2(6), 73-95. https://doi.org/10.70148/v2i6.5</w:t>
      </w:r>
    </w:p>
    <w:p w14:paraId="1ED10E5C" w14:textId="77777777" w:rsidR="00AF23E2" w:rsidRDefault="00000000">
      <w:pPr>
        <w:pStyle w:val="Alishlah71References"/>
        <w:rPr>
          <w:rFonts w:hint="eastAsia"/>
        </w:rPr>
      </w:pPr>
      <w:r>
        <w:rPr>
          <w:rFonts w:eastAsia="Palatino Linotype"/>
        </w:rPr>
        <w:t>Banks, J. A. (2015). Cultural diversity and education: Foundations, curriculum, and teaching. Routledge.</w:t>
      </w:r>
    </w:p>
    <w:p w14:paraId="5520AC5F" w14:textId="77777777" w:rsidR="00AF23E2" w:rsidRDefault="00000000">
      <w:pPr>
        <w:pStyle w:val="Alishlah71References"/>
        <w:rPr>
          <w:rFonts w:hint="eastAsia"/>
        </w:rPr>
      </w:pPr>
      <w:r>
        <w:rPr>
          <w:rFonts w:eastAsia="Palatino Linotype"/>
        </w:rPr>
        <w:t xml:space="preserve">Buaban, J. (2025). Ritualizing </w:t>
      </w:r>
      <w:proofErr w:type="spellStart"/>
      <w:r>
        <w:rPr>
          <w:rFonts w:eastAsia="Palatino Linotype"/>
        </w:rPr>
        <w:t>Buddhayana</w:t>
      </w:r>
      <w:proofErr w:type="spellEnd"/>
      <w:r>
        <w:rPr>
          <w:rFonts w:eastAsia="Palatino Linotype"/>
        </w:rPr>
        <w:t>: The Invention of Rituals in Java Under the State Policy and the Diversity of Indonesian Buddhists. Asia Social Issues, 18(2), e274640-e274640. https://doi.org/10.48048/asi.2025.274640</w:t>
      </w:r>
    </w:p>
    <w:p w14:paraId="6181A741" w14:textId="77777777" w:rsidR="00AF23E2" w:rsidRDefault="00000000">
      <w:pPr>
        <w:pStyle w:val="Alishlah71References"/>
        <w:rPr>
          <w:rFonts w:hint="eastAsia"/>
        </w:rPr>
      </w:pPr>
      <w:proofErr w:type="spellStart"/>
      <w:r>
        <w:rPr>
          <w:rFonts w:eastAsia="Palatino Linotype"/>
        </w:rPr>
        <w:t>Carbonilla</w:t>
      </w:r>
      <w:proofErr w:type="spellEnd"/>
      <w:r>
        <w:rPr>
          <w:rFonts w:eastAsia="Palatino Linotype"/>
        </w:rPr>
        <w:t xml:space="preserve">, I. F., Advincula, R. M. B., Adonis, E. M. G., &amp; </w:t>
      </w:r>
      <w:proofErr w:type="spellStart"/>
      <w:r>
        <w:rPr>
          <w:rFonts w:eastAsia="Palatino Linotype"/>
        </w:rPr>
        <w:t>Roperez</w:t>
      </w:r>
      <w:proofErr w:type="spellEnd"/>
      <w:r>
        <w:rPr>
          <w:rFonts w:eastAsia="Palatino Linotype"/>
        </w:rPr>
        <w:t>, M. L. M. (2024). Barriers to practicing values: Challenges encountered by values education students in applying values education to their everyday lives. International Journal of Social Science and Human Research, 7(6), 3900-3914. https://doi.org/10.47191/ijsshr/v7-i06-45</w:t>
      </w:r>
    </w:p>
    <w:p w14:paraId="45FA5449" w14:textId="77777777" w:rsidR="00AF23E2" w:rsidRDefault="00000000">
      <w:pPr>
        <w:pStyle w:val="Alishlah71References"/>
        <w:rPr>
          <w:rFonts w:hint="eastAsia"/>
        </w:rPr>
      </w:pPr>
      <w:r>
        <w:rPr>
          <w:rFonts w:eastAsia="Palatino Linotype"/>
        </w:rPr>
        <w:t xml:space="preserve">Creswell, J. W., &amp; </w:t>
      </w:r>
      <w:proofErr w:type="spellStart"/>
      <w:r>
        <w:rPr>
          <w:rFonts w:eastAsia="Palatino Linotype"/>
        </w:rPr>
        <w:t>Poth</w:t>
      </w:r>
      <w:proofErr w:type="spellEnd"/>
      <w:r>
        <w:rPr>
          <w:rFonts w:eastAsia="Palatino Linotype"/>
        </w:rPr>
        <w:t>, C. N. (2016). Qualitative inquiry and research design: Choosing among five approaches. Sage publications.</w:t>
      </w:r>
    </w:p>
    <w:p w14:paraId="2F804F09" w14:textId="77777777" w:rsidR="00AF23E2" w:rsidRDefault="00000000">
      <w:pPr>
        <w:pStyle w:val="Alishlah71References"/>
        <w:rPr>
          <w:rFonts w:hint="eastAsia"/>
        </w:rPr>
      </w:pPr>
      <w:r>
        <w:rPr>
          <w:rFonts w:eastAsia="Palatino Linotype"/>
        </w:rPr>
        <w:t>Crisp, R. (Ed.). (2014). Aristotle: Nicomachean ethics. Cambridge University Press.</w:t>
      </w:r>
    </w:p>
    <w:p w14:paraId="6864CFED" w14:textId="77777777" w:rsidR="00AF23E2" w:rsidRDefault="00000000">
      <w:pPr>
        <w:pStyle w:val="Alishlah71References"/>
        <w:rPr>
          <w:rFonts w:hint="eastAsia"/>
        </w:rPr>
      </w:pPr>
      <w:r>
        <w:rPr>
          <w:rFonts w:eastAsia="Palatino Linotype"/>
        </w:rPr>
        <w:t>Durkheim, E. (2016). The elementary forms of religious life. In Social theory re-wired (pp. 52-67). Routledge.</w:t>
      </w:r>
    </w:p>
    <w:p w14:paraId="7E89B81F" w14:textId="77777777" w:rsidR="00AF23E2" w:rsidRDefault="00000000">
      <w:pPr>
        <w:pStyle w:val="Alishlah71References"/>
        <w:rPr>
          <w:rFonts w:hint="eastAsia"/>
        </w:rPr>
      </w:pPr>
      <w:proofErr w:type="spellStart"/>
      <w:r>
        <w:rPr>
          <w:rFonts w:eastAsia="Palatino Linotype"/>
        </w:rPr>
        <w:t>Fitrahayunitisna</w:t>
      </w:r>
      <w:proofErr w:type="spellEnd"/>
      <w:r>
        <w:rPr>
          <w:rFonts w:eastAsia="Palatino Linotype"/>
        </w:rPr>
        <w:t xml:space="preserve">, F. (2018). </w:t>
      </w:r>
      <w:proofErr w:type="spellStart"/>
      <w:r>
        <w:rPr>
          <w:rFonts w:eastAsia="Palatino Linotype"/>
        </w:rPr>
        <w:t>Performansi</w:t>
      </w:r>
      <w:proofErr w:type="spellEnd"/>
      <w:r>
        <w:rPr>
          <w:rFonts w:eastAsia="Palatino Linotype"/>
        </w:rPr>
        <w:t xml:space="preserve"> </w:t>
      </w:r>
      <w:proofErr w:type="spellStart"/>
      <w:r>
        <w:rPr>
          <w:rFonts w:eastAsia="Palatino Linotype"/>
        </w:rPr>
        <w:t>Ujub</w:t>
      </w:r>
      <w:proofErr w:type="spellEnd"/>
      <w:r>
        <w:rPr>
          <w:rFonts w:eastAsia="Palatino Linotype"/>
        </w:rPr>
        <w:t xml:space="preserve">: Doa dan </w:t>
      </w:r>
      <w:proofErr w:type="spellStart"/>
      <w:r>
        <w:rPr>
          <w:rFonts w:eastAsia="Palatino Linotype"/>
        </w:rPr>
        <w:t>Komunikasi</w:t>
      </w:r>
      <w:proofErr w:type="spellEnd"/>
      <w:r>
        <w:rPr>
          <w:rFonts w:eastAsia="Palatino Linotype"/>
        </w:rPr>
        <w:t xml:space="preserve"> Tiga Alam </w:t>
      </w:r>
      <w:proofErr w:type="spellStart"/>
      <w:r>
        <w:rPr>
          <w:rFonts w:eastAsia="Palatino Linotype"/>
        </w:rPr>
        <w:t>dalam</w:t>
      </w:r>
      <w:proofErr w:type="spellEnd"/>
      <w:r>
        <w:rPr>
          <w:rFonts w:eastAsia="Palatino Linotype"/>
        </w:rPr>
        <w:t xml:space="preserve"> </w:t>
      </w:r>
      <w:proofErr w:type="spellStart"/>
      <w:r>
        <w:rPr>
          <w:rFonts w:eastAsia="Palatino Linotype"/>
        </w:rPr>
        <w:t>Tradisi</w:t>
      </w:r>
      <w:proofErr w:type="spellEnd"/>
      <w:r>
        <w:rPr>
          <w:rFonts w:eastAsia="Palatino Linotype"/>
        </w:rPr>
        <w:t xml:space="preserve"> </w:t>
      </w:r>
      <w:proofErr w:type="spellStart"/>
      <w:r>
        <w:rPr>
          <w:rFonts w:eastAsia="Palatino Linotype"/>
        </w:rPr>
        <w:t>Bersih</w:t>
      </w:r>
      <w:proofErr w:type="spellEnd"/>
      <w:r>
        <w:rPr>
          <w:rFonts w:eastAsia="Palatino Linotype"/>
        </w:rPr>
        <w:t xml:space="preserve"> Desa Krisik di </w:t>
      </w:r>
      <w:proofErr w:type="spellStart"/>
      <w:r>
        <w:rPr>
          <w:rFonts w:eastAsia="Palatino Linotype"/>
        </w:rPr>
        <w:t>Blitar</w:t>
      </w:r>
      <w:proofErr w:type="spellEnd"/>
      <w:r>
        <w:rPr>
          <w:rFonts w:eastAsia="Palatino Linotype"/>
        </w:rPr>
        <w:t xml:space="preserve"> </w:t>
      </w:r>
      <w:proofErr w:type="spellStart"/>
      <w:r>
        <w:rPr>
          <w:rFonts w:eastAsia="Palatino Linotype"/>
        </w:rPr>
        <w:t>Provinsi</w:t>
      </w:r>
      <w:proofErr w:type="spellEnd"/>
      <w:r>
        <w:rPr>
          <w:rFonts w:eastAsia="Palatino Linotype"/>
        </w:rPr>
        <w:t xml:space="preserve"> Jawa Timur. </w:t>
      </w:r>
      <w:proofErr w:type="spellStart"/>
      <w:r>
        <w:rPr>
          <w:rFonts w:eastAsia="Palatino Linotype"/>
        </w:rPr>
        <w:t>Jurnal</w:t>
      </w:r>
      <w:proofErr w:type="spellEnd"/>
      <w:r>
        <w:rPr>
          <w:rFonts w:eastAsia="Palatino Linotype"/>
        </w:rPr>
        <w:t xml:space="preserve"> SMART (Studi Masyarakat, </w:t>
      </w:r>
      <w:proofErr w:type="spellStart"/>
      <w:r>
        <w:rPr>
          <w:rFonts w:eastAsia="Palatino Linotype"/>
        </w:rPr>
        <w:t>Religi</w:t>
      </w:r>
      <w:proofErr w:type="spellEnd"/>
      <w:r>
        <w:rPr>
          <w:rFonts w:eastAsia="Palatino Linotype"/>
        </w:rPr>
        <w:t xml:space="preserve">, dan </w:t>
      </w:r>
      <w:proofErr w:type="spellStart"/>
      <w:r>
        <w:rPr>
          <w:rFonts w:eastAsia="Palatino Linotype"/>
        </w:rPr>
        <w:t>Tradisi</w:t>
      </w:r>
      <w:proofErr w:type="spellEnd"/>
      <w:r>
        <w:rPr>
          <w:rFonts w:eastAsia="Palatino Linotype"/>
        </w:rPr>
        <w:t>), 4(2), 137-148. https://doi.org/10.18784/SMART.V4I2.672</w:t>
      </w:r>
    </w:p>
    <w:p w14:paraId="0469753A" w14:textId="77777777" w:rsidR="00AF23E2" w:rsidRDefault="00000000">
      <w:pPr>
        <w:pStyle w:val="Alishlah71References"/>
        <w:rPr>
          <w:rFonts w:hint="eastAsia"/>
        </w:rPr>
      </w:pPr>
      <w:r>
        <w:rPr>
          <w:rFonts w:eastAsia="Palatino Linotype"/>
        </w:rPr>
        <w:t>Freire, P. (1970). Cultural action and conscientization. Harvard Educational Review, 40(3), 452-477. https://doi.org/10.17763/HAER.40.3.H76250X720J43175</w:t>
      </w:r>
    </w:p>
    <w:p w14:paraId="5CC2DE34" w14:textId="77777777" w:rsidR="00AF23E2" w:rsidRDefault="00000000">
      <w:pPr>
        <w:pStyle w:val="Alishlah71References"/>
        <w:rPr>
          <w:rFonts w:hint="eastAsia"/>
        </w:rPr>
      </w:pPr>
      <w:r>
        <w:rPr>
          <w:rFonts w:eastAsia="Palatino Linotype"/>
        </w:rPr>
        <w:t>Gadamer, H. G. (2008). Philosophical hermeneutics. University of California Press.</w:t>
      </w:r>
    </w:p>
    <w:p w14:paraId="3AD34A35" w14:textId="77777777" w:rsidR="00AF23E2" w:rsidRDefault="00000000">
      <w:pPr>
        <w:pStyle w:val="Alishlah71References"/>
        <w:rPr>
          <w:rFonts w:hint="eastAsia"/>
        </w:rPr>
      </w:pPr>
      <w:r>
        <w:rPr>
          <w:rFonts w:eastAsia="Palatino Linotype"/>
        </w:rPr>
        <w:t>Geertz, C. (2017). The interpretation of cultures. Basic Books.</w:t>
      </w:r>
    </w:p>
    <w:p w14:paraId="56D29A82" w14:textId="77777777" w:rsidR="00AF23E2" w:rsidRDefault="00000000">
      <w:pPr>
        <w:pStyle w:val="Alishlah71References"/>
        <w:rPr>
          <w:rFonts w:hint="eastAsia"/>
        </w:rPr>
      </w:pPr>
      <w:r>
        <w:rPr>
          <w:rFonts w:eastAsia="Palatino Linotype"/>
        </w:rPr>
        <w:t>Hoffman, M. L. (1996). Empathy and moral development. The Annual Report of Educational Psychology in Japan, 35, 157-162.</w:t>
      </w:r>
    </w:p>
    <w:p w14:paraId="687E6376" w14:textId="77777777" w:rsidR="00AF23E2" w:rsidRDefault="00000000">
      <w:pPr>
        <w:pStyle w:val="Alishlah71References"/>
        <w:rPr>
          <w:rFonts w:hint="eastAsia"/>
        </w:rPr>
      </w:pPr>
      <w:proofErr w:type="spellStart"/>
      <w:r>
        <w:rPr>
          <w:rFonts w:eastAsia="Palatino Linotype"/>
        </w:rPr>
        <w:t>Juwanti</w:t>
      </w:r>
      <w:proofErr w:type="spellEnd"/>
      <w:r>
        <w:rPr>
          <w:rFonts w:eastAsia="Palatino Linotype"/>
        </w:rPr>
        <w:t xml:space="preserve">, J., </w:t>
      </w:r>
      <w:proofErr w:type="spellStart"/>
      <w:r>
        <w:rPr>
          <w:rFonts w:eastAsia="Palatino Linotype"/>
        </w:rPr>
        <w:t>Suciptaningsih</w:t>
      </w:r>
      <w:proofErr w:type="spellEnd"/>
      <w:r>
        <w:rPr>
          <w:rFonts w:eastAsia="Palatino Linotype"/>
        </w:rPr>
        <w:t xml:space="preserve">, O. A., </w:t>
      </w:r>
      <w:proofErr w:type="spellStart"/>
      <w:r>
        <w:rPr>
          <w:rFonts w:eastAsia="Palatino Linotype"/>
        </w:rPr>
        <w:t>Mashfufah</w:t>
      </w:r>
      <w:proofErr w:type="spellEnd"/>
      <w:r>
        <w:rPr>
          <w:rFonts w:eastAsia="Palatino Linotype"/>
        </w:rPr>
        <w:t xml:space="preserve">, A., &amp; </w:t>
      </w:r>
      <w:proofErr w:type="spellStart"/>
      <w:r>
        <w:rPr>
          <w:rFonts w:eastAsia="Palatino Linotype"/>
        </w:rPr>
        <w:t>Anggraini</w:t>
      </w:r>
      <w:proofErr w:type="spellEnd"/>
      <w:r>
        <w:rPr>
          <w:rFonts w:eastAsia="Palatino Linotype"/>
        </w:rPr>
        <w:t xml:space="preserve">, A. E. (2026). </w:t>
      </w:r>
      <w:proofErr w:type="spellStart"/>
      <w:r>
        <w:rPr>
          <w:rFonts w:eastAsia="Palatino Linotype"/>
        </w:rPr>
        <w:t>Ethnopedagogy</w:t>
      </w:r>
      <w:proofErr w:type="spellEnd"/>
      <w:r>
        <w:rPr>
          <w:rFonts w:eastAsia="Palatino Linotype"/>
        </w:rPr>
        <w:t xml:space="preserve"> as an </w:t>
      </w:r>
      <w:r>
        <w:rPr>
          <w:rFonts w:eastAsia="Palatino Linotype"/>
        </w:rPr>
        <w:lastRenderedPageBreak/>
        <w:t>Integrative Framework for Developing Scientific Ethics and Character Integrity in Elementary Education: A Systematic Literature Review. Journal of Innovation and Research in Primary Education, 5(1), 1561-1577.</w:t>
      </w:r>
    </w:p>
    <w:p w14:paraId="53BA97D5" w14:textId="77777777" w:rsidR="00AF23E2" w:rsidRDefault="00000000">
      <w:pPr>
        <w:pStyle w:val="Alishlah71References"/>
        <w:rPr>
          <w:rFonts w:hint="eastAsia"/>
        </w:rPr>
      </w:pPr>
      <w:r>
        <w:rPr>
          <w:rFonts w:eastAsia="Palatino Linotype"/>
        </w:rPr>
        <w:t>Keeler, W. (1984). Javanese, a cultural approach. No Title.</w:t>
      </w:r>
    </w:p>
    <w:p w14:paraId="385FAAC9" w14:textId="77777777" w:rsidR="00AF23E2" w:rsidRDefault="00000000">
      <w:pPr>
        <w:pStyle w:val="Alishlah71References"/>
        <w:rPr>
          <w:rFonts w:hint="eastAsia"/>
        </w:rPr>
      </w:pPr>
      <w:r>
        <w:rPr>
          <w:rFonts w:eastAsia="Palatino Linotype"/>
        </w:rPr>
        <w:t>Lapsley, D. K., &amp; Yeager, D. (2012). Moral-character education. Handbook of Psychology, Second Edition, 7. https://doi.org/10.1002/9781118133880.HOP207007</w:t>
      </w:r>
    </w:p>
    <w:p w14:paraId="4927A3C8" w14:textId="77777777" w:rsidR="00AF23E2" w:rsidRDefault="00000000">
      <w:pPr>
        <w:pStyle w:val="Alishlah71References"/>
        <w:rPr>
          <w:rFonts w:hint="eastAsia"/>
        </w:rPr>
      </w:pPr>
      <w:proofErr w:type="spellStart"/>
      <w:r>
        <w:rPr>
          <w:rFonts w:eastAsia="Palatino Linotype"/>
        </w:rPr>
        <w:t>Lickona</w:t>
      </w:r>
      <w:proofErr w:type="spellEnd"/>
      <w:r>
        <w:rPr>
          <w:rFonts w:eastAsia="Palatino Linotype"/>
        </w:rPr>
        <w:t>, T. (1992). Educating for character: How our schools can teach respect and responsibility. Bantam.</w:t>
      </w:r>
    </w:p>
    <w:p w14:paraId="10C3036E" w14:textId="77777777" w:rsidR="00AF23E2" w:rsidRDefault="00000000">
      <w:pPr>
        <w:pStyle w:val="Alishlah71References"/>
        <w:rPr>
          <w:rFonts w:hint="eastAsia"/>
        </w:rPr>
      </w:pPr>
      <w:r>
        <w:rPr>
          <w:rFonts w:eastAsia="Palatino Linotype"/>
        </w:rPr>
        <w:t xml:space="preserve">Maulana, F., </w:t>
      </w:r>
      <w:proofErr w:type="spellStart"/>
      <w:r>
        <w:rPr>
          <w:rFonts w:eastAsia="Palatino Linotype"/>
        </w:rPr>
        <w:t>Haerussaleh</w:t>
      </w:r>
      <w:proofErr w:type="spellEnd"/>
      <w:r>
        <w:rPr>
          <w:rFonts w:eastAsia="Palatino Linotype"/>
        </w:rPr>
        <w:t xml:space="preserve">, H., &amp; </w:t>
      </w:r>
      <w:proofErr w:type="spellStart"/>
      <w:r>
        <w:rPr>
          <w:rFonts w:eastAsia="Palatino Linotype"/>
        </w:rPr>
        <w:t>Faizin</w:t>
      </w:r>
      <w:proofErr w:type="spellEnd"/>
      <w:r>
        <w:rPr>
          <w:rFonts w:eastAsia="Palatino Linotype"/>
        </w:rPr>
        <w:t xml:space="preserve">, A. (2025). </w:t>
      </w:r>
      <w:proofErr w:type="spellStart"/>
      <w:r>
        <w:rPr>
          <w:rFonts w:eastAsia="Palatino Linotype"/>
        </w:rPr>
        <w:t>Sinkretisme</w:t>
      </w:r>
      <w:proofErr w:type="spellEnd"/>
      <w:r>
        <w:rPr>
          <w:rFonts w:eastAsia="Palatino Linotype"/>
        </w:rPr>
        <w:t xml:space="preserve"> dan Nilai </w:t>
      </w:r>
      <w:proofErr w:type="spellStart"/>
      <w:r>
        <w:rPr>
          <w:rFonts w:eastAsia="Palatino Linotype"/>
        </w:rPr>
        <w:t>dalam</w:t>
      </w:r>
      <w:proofErr w:type="spellEnd"/>
      <w:r>
        <w:rPr>
          <w:rFonts w:eastAsia="Palatino Linotype"/>
        </w:rPr>
        <w:t xml:space="preserve"> </w:t>
      </w:r>
      <w:proofErr w:type="spellStart"/>
      <w:r>
        <w:rPr>
          <w:rFonts w:eastAsia="Palatino Linotype"/>
        </w:rPr>
        <w:t>Tradisi</w:t>
      </w:r>
      <w:proofErr w:type="spellEnd"/>
      <w:r>
        <w:rPr>
          <w:rFonts w:eastAsia="Palatino Linotype"/>
        </w:rPr>
        <w:t xml:space="preserve"> </w:t>
      </w:r>
      <w:proofErr w:type="spellStart"/>
      <w:r>
        <w:rPr>
          <w:rFonts w:eastAsia="Palatino Linotype"/>
        </w:rPr>
        <w:t>Nyadran</w:t>
      </w:r>
      <w:proofErr w:type="spellEnd"/>
      <w:r>
        <w:rPr>
          <w:rFonts w:eastAsia="Palatino Linotype"/>
        </w:rPr>
        <w:t xml:space="preserve"> di Desa </w:t>
      </w:r>
      <w:proofErr w:type="spellStart"/>
      <w:r>
        <w:rPr>
          <w:rFonts w:eastAsia="Palatino Linotype"/>
        </w:rPr>
        <w:t>Mojodadi</w:t>
      </w:r>
      <w:proofErr w:type="spellEnd"/>
      <w:r>
        <w:rPr>
          <w:rFonts w:eastAsia="Palatino Linotype"/>
        </w:rPr>
        <w:t xml:space="preserve">: Syncretism and Values in the </w:t>
      </w:r>
      <w:proofErr w:type="spellStart"/>
      <w:r>
        <w:rPr>
          <w:rFonts w:eastAsia="Palatino Linotype"/>
        </w:rPr>
        <w:t>Nyadran</w:t>
      </w:r>
      <w:proofErr w:type="spellEnd"/>
      <w:r>
        <w:rPr>
          <w:rFonts w:eastAsia="Palatino Linotype"/>
        </w:rPr>
        <w:t xml:space="preserve"> Tradition in </w:t>
      </w:r>
      <w:proofErr w:type="spellStart"/>
      <w:r>
        <w:rPr>
          <w:rFonts w:eastAsia="Palatino Linotype"/>
        </w:rPr>
        <w:t>Mojodadi</w:t>
      </w:r>
      <w:proofErr w:type="spellEnd"/>
      <w:r>
        <w:rPr>
          <w:rFonts w:eastAsia="Palatino Linotype"/>
        </w:rPr>
        <w:t xml:space="preserve"> Village. JBSI: </w:t>
      </w:r>
      <w:proofErr w:type="spellStart"/>
      <w:r>
        <w:rPr>
          <w:rFonts w:eastAsia="Palatino Linotype"/>
        </w:rPr>
        <w:t>Jurnal</w:t>
      </w:r>
      <w:proofErr w:type="spellEnd"/>
      <w:r>
        <w:rPr>
          <w:rFonts w:eastAsia="Palatino Linotype"/>
        </w:rPr>
        <w:t xml:space="preserve"> Bahasa dan Sastra Indonesia, 5(02), 643-650. https://doi.org/10.47709/jbsi.v5i02.7463</w:t>
      </w:r>
    </w:p>
    <w:p w14:paraId="24674949" w14:textId="77777777" w:rsidR="00AF23E2" w:rsidRDefault="00000000">
      <w:pPr>
        <w:pStyle w:val="Alishlah71References"/>
        <w:rPr>
          <w:rFonts w:hint="eastAsia"/>
        </w:rPr>
      </w:pPr>
      <w:proofErr w:type="spellStart"/>
      <w:r>
        <w:rPr>
          <w:rFonts w:eastAsia="Palatino Linotype"/>
        </w:rPr>
        <w:t>Milandari</w:t>
      </w:r>
      <w:proofErr w:type="spellEnd"/>
      <w:r>
        <w:rPr>
          <w:rFonts w:eastAsia="Palatino Linotype"/>
        </w:rPr>
        <w:t xml:space="preserve">, B. D., Bilal, A. I., Garba, M. M., &amp; Hafeez, M. (2026). The effectiveness of </w:t>
      </w:r>
      <w:proofErr w:type="spellStart"/>
      <w:r>
        <w:rPr>
          <w:rFonts w:eastAsia="Palatino Linotype"/>
        </w:rPr>
        <w:t>ethnopedagogy</w:t>
      </w:r>
      <w:proofErr w:type="spellEnd"/>
      <w:r>
        <w:rPr>
          <w:rFonts w:eastAsia="Palatino Linotype"/>
        </w:rPr>
        <w:t xml:space="preserve"> in revitalising local wisdom in formal education: A phenomenological review. Indonesian Journal of Educational Development (IJED), 6(4), 1260-1274. https://doi.org/10.59672/ijed.v6i4.5742</w:t>
      </w:r>
    </w:p>
    <w:p w14:paraId="29734372" w14:textId="77777777" w:rsidR="00AF23E2" w:rsidRDefault="00000000">
      <w:pPr>
        <w:pStyle w:val="Alishlah71References"/>
        <w:rPr>
          <w:rFonts w:hint="eastAsia"/>
        </w:rPr>
      </w:pPr>
      <w:r>
        <w:rPr>
          <w:rFonts w:eastAsia="Palatino Linotype"/>
        </w:rPr>
        <w:t>Miles, M. B., Huberman, A. M., &amp; Saldaña, J. (2014). Qualitative data analysis. Sage.</w:t>
      </w:r>
    </w:p>
    <w:p w14:paraId="45EF42A8" w14:textId="77777777" w:rsidR="00AF23E2" w:rsidRDefault="00000000">
      <w:pPr>
        <w:pStyle w:val="Alishlah71References"/>
        <w:rPr>
          <w:rFonts w:hint="eastAsia"/>
        </w:rPr>
      </w:pPr>
      <w:r>
        <w:rPr>
          <w:rFonts w:eastAsia="Palatino Linotype"/>
        </w:rPr>
        <w:t xml:space="preserve">PERPRES </w:t>
      </w:r>
      <w:proofErr w:type="spellStart"/>
      <w:r>
        <w:rPr>
          <w:rFonts w:eastAsia="Palatino Linotype"/>
        </w:rPr>
        <w:t>Nomor</w:t>
      </w:r>
      <w:proofErr w:type="spellEnd"/>
      <w:r>
        <w:rPr>
          <w:rFonts w:eastAsia="Palatino Linotype"/>
        </w:rPr>
        <w:t xml:space="preserve"> 87 </w:t>
      </w:r>
      <w:proofErr w:type="spellStart"/>
      <w:r>
        <w:rPr>
          <w:rFonts w:eastAsia="Palatino Linotype"/>
        </w:rPr>
        <w:t>Tahun</w:t>
      </w:r>
      <w:proofErr w:type="spellEnd"/>
      <w:r>
        <w:rPr>
          <w:rFonts w:eastAsia="Palatino Linotype"/>
        </w:rPr>
        <w:t xml:space="preserve"> 2017 </w:t>
      </w:r>
      <w:proofErr w:type="spellStart"/>
      <w:r>
        <w:rPr>
          <w:rFonts w:eastAsia="Palatino Linotype"/>
        </w:rPr>
        <w:t>tentang</w:t>
      </w:r>
      <w:proofErr w:type="spellEnd"/>
      <w:r>
        <w:rPr>
          <w:rFonts w:eastAsia="Palatino Linotype"/>
        </w:rPr>
        <w:t xml:space="preserve"> </w:t>
      </w:r>
      <w:proofErr w:type="spellStart"/>
      <w:r>
        <w:rPr>
          <w:rFonts w:eastAsia="Palatino Linotype"/>
        </w:rPr>
        <w:t>Penguatan</w:t>
      </w:r>
      <w:proofErr w:type="spellEnd"/>
      <w:r>
        <w:rPr>
          <w:rFonts w:eastAsia="Palatino Linotype"/>
        </w:rPr>
        <w:t xml:space="preserve"> Pendidikan </w:t>
      </w:r>
      <w:proofErr w:type="spellStart"/>
      <w:r>
        <w:rPr>
          <w:rFonts w:eastAsia="Palatino Linotype"/>
        </w:rPr>
        <w:t>Karakter</w:t>
      </w:r>
      <w:proofErr w:type="spellEnd"/>
      <w:r>
        <w:rPr>
          <w:rFonts w:eastAsia="Palatino Linotype"/>
        </w:rPr>
        <w:t xml:space="preserve"> (PPK), Pasal 1. </w:t>
      </w:r>
      <w:proofErr w:type="spellStart"/>
      <w:r>
        <w:rPr>
          <w:rFonts w:eastAsia="Palatino Linotype"/>
        </w:rPr>
        <w:t>Lembaran</w:t>
      </w:r>
      <w:proofErr w:type="spellEnd"/>
      <w:r>
        <w:rPr>
          <w:rFonts w:eastAsia="Palatino Linotype"/>
        </w:rPr>
        <w:t xml:space="preserve"> Negara RI </w:t>
      </w:r>
      <w:proofErr w:type="spellStart"/>
      <w:r>
        <w:rPr>
          <w:rFonts w:eastAsia="Palatino Linotype"/>
        </w:rPr>
        <w:t>Tahun</w:t>
      </w:r>
      <w:proofErr w:type="spellEnd"/>
      <w:r>
        <w:rPr>
          <w:rFonts w:eastAsia="Palatino Linotype"/>
        </w:rPr>
        <w:t xml:space="preserve"> 2017 </w:t>
      </w:r>
      <w:proofErr w:type="spellStart"/>
      <w:r>
        <w:rPr>
          <w:rFonts w:eastAsia="Palatino Linotype"/>
        </w:rPr>
        <w:t>Nomor</w:t>
      </w:r>
      <w:proofErr w:type="spellEnd"/>
      <w:r>
        <w:rPr>
          <w:rFonts w:eastAsia="Palatino Linotype"/>
        </w:rPr>
        <w:t xml:space="preserve"> 195.</w:t>
      </w:r>
    </w:p>
    <w:p w14:paraId="06DD037F" w14:textId="77777777" w:rsidR="00AF23E2" w:rsidRDefault="00000000">
      <w:pPr>
        <w:pStyle w:val="Alishlah71References"/>
        <w:rPr>
          <w:rFonts w:hint="eastAsia"/>
        </w:rPr>
      </w:pPr>
      <w:r>
        <w:rPr>
          <w:rFonts w:eastAsia="Palatino Linotype"/>
        </w:rPr>
        <w:t xml:space="preserve">Potgieter, F. J., Van der Walt, J. L., &amp; </w:t>
      </w:r>
      <w:proofErr w:type="spellStart"/>
      <w:r>
        <w:rPr>
          <w:rFonts w:eastAsia="Palatino Linotype"/>
        </w:rPr>
        <w:t>Wolhuter</w:t>
      </w:r>
      <w:proofErr w:type="spellEnd"/>
      <w:r>
        <w:rPr>
          <w:rFonts w:eastAsia="Palatino Linotype"/>
        </w:rPr>
        <w:t>, C. C. (2014). Towards understanding (religious)(in)tolerance in education. HTS: Theological Studies, 70(3), 1-8. https://doi.org/10.4102/HTS.V70I3.1977</w:t>
      </w:r>
    </w:p>
    <w:p w14:paraId="67DBD828" w14:textId="77777777" w:rsidR="00AF23E2" w:rsidRDefault="00000000">
      <w:pPr>
        <w:pStyle w:val="Alishlah71References"/>
        <w:rPr>
          <w:rFonts w:hint="eastAsia"/>
        </w:rPr>
      </w:pPr>
      <w:proofErr w:type="spellStart"/>
      <w:r>
        <w:rPr>
          <w:rFonts w:eastAsia="Palatino Linotype"/>
        </w:rPr>
        <w:t>Praptiyono</w:t>
      </w:r>
      <w:proofErr w:type="spellEnd"/>
      <w:r>
        <w:rPr>
          <w:rFonts w:eastAsia="Palatino Linotype"/>
        </w:rPr>
        <w:t xml:space="preserve">, K., &amp; Mega </w:t>
      </w:r>
      <w:proofErr w:type="spellStart"/>
      <w:r>
        <w:rPr>
          <w:rFonts w:eastAsia="Palatino Linotype"/>
        </w:rPr>
        <w:t>Singamurti</w:t>
      </w:r>
      <w:proofErr w:type="spellEnd"/>
      <w:r>
        <w:rPr>
          <w:rFonts w:eastAsia="Palatino Linotype"/>
        </w:rPr>
        <w:t xml:space="preserve">, M. (2025). </w:t>
      </w:r>
      <w:proofErr w:type="spellStart"/>
      <w:r>
        <w:rPr>
          <w:rFonts w:eastAsia="Palatino Linotype"/>
        </w:rPr>
        <w:t>Penanaman</w:t>
      </w:r>
      <w:proofErr w:type="spellEnd"/>
      <w:r>
        <w:rPr>
          <w:rFonts w:eastAsia="Palatino Linotype"/>
        </w:rPr>
        <w:t xml:space="preserve"> Pendidikan </w:t>
      </w:r>
      <w:proofErr w:type="spellStart"/>
      <w:r>
        <w:rPr>
          <w:rFonts w:eastAsia="Palatino Linotype"/>
        </w:rPr>
        <w:t>Karakter</w:t>
      </w:r>
      <w:proofErr w:type="spellEnd"/>
      <w:r>
        <w:rPr>
          <w:rFonts w:eastAsia="Palatino Linotype"/>
        </w:rPr>
        <w:t xml:space="preserve"> </w:t>
      </w:r>
      <w:proofErr w:type="spellStart"/>
      <w:r>
        <w:rPr>
          <w:rFonts w:eastAsia="Palatino Linotype"/>
        </w:rPr>
        <w:t>Bercirikan</w:t>
      </w:r>
      <w:proofErr w:type="spellEnd"/>
      <w:r>
        <w:rPr>
          <w:rFonts w:eastAsia="Palatino Linotype"/>
        </w:rPr>
        <w:t xml:space="preserve"> Agama Buddha di </w:t>
      </w:r>
      <w:proofErr w:type="spellStart"/>
      <w:r>
        <w:rPr>
          <w:rFonts w:eastAsia="Palatino Linotype"/>
        </w:rPr>
        <w:t>Sekolah</w:t>
      </w:r>
      <w:proofErr w:type="spellEnd"/>
      <w:r>
        <w:rPr>
          <w:rFonts w:eastAsia="Palatino Linotype"/>
        </w:rPr>
        <w:t xml:space="preserve"> Buddhis. </w:t>
      </w:r>
      <w:proofErr w:type="spellStart"/>
      <w:r>
        <w:rPr>
          <w:rFonts w:eastAsia="Palatino Linotype"/>
        </w:rPr>
        <w:t>Jurnal</w:t>
      </w:r>
      <w:proofErr w:type="spellEnd"/>
      <w:r>
        <w:rPr>
          <w:rFonts w:eastAsia="Palatino Linotype"/>
        </w:rPr>
        <w:t xml:space="preserve"> </w:t>
      </w:r>
      <w:proofErr w:type="spellStart"/>
      <w:r>
        <w:rPr>
          <w:rFonts w:eastAsia="Palatino Linotype"/>
        </w:rPr>
        <w:t>Ilmiah</w:t>
      </w:r>
      <w:proofErr w:type="spellEnd"/>
      <w:r>
        <w:rPr>
          <w:rFonts w:eastAsia="Palatino Linotype"/>
        </w:rPr>
        <w:t xml:space="preserve"> Religiosity Entity Humanity (JIREH), 7(1), 407-420. https://doi.org/10.37364/jireh.v7i1.311</w:t>
      </w:r>
    </w:p>
    <w:p w14:paraId="78005922" w14:textId="77777777" w:rsidR="00AF23E2" w:rsidRDefault="00000000">
      <w:pPr>
        <w:pStyle w:val="Alishlah71References"/>
        <w:rPr>
          <w:rFonts w:hint="eastAsia"/>
        </w:rPr>
      </w:pPr>
      <w:proofErr w:type="spellStart"/>
      <w:r>
        <w:rPr>
          <w:rFonts w:eastAsia="Palatino Linotype"/>
        </w:rPr>
        <w:t>Prastowo</w:t>
      </w:r>
      <w:proofErr w:type="spellEnd"/>
      <w:r>
        <w:rPr>
          <w:rFonts w:eastAsia="Palatino Linotype"/>
        </w:rPr>
        <w:t>, F. R. (2023). The folk belief and cultural heritage in the syncretic Theravada Buddhism: The cases of human-spirits relationship in Indonesia, Cambodia and Myanmar. International Journal of Education, Language, Literature, Arts, Culture, and Social Humanities, 1(3), 101-123. https://doi.org/10.59024/ijellacush.v1i3.308</w:t>
      </w:r>
    </w:p>
    <w:p w14:paraId="40686F0E" w14:textId="77777777" w:rsidR="00AF23E2" w:rsidRDefault="00000000">
      <w:pPr>
        <w:pStyle w:val="Alishlah71References"/>
        <w:rPr>
          <w:rFonts w:hint="eastAsia"/>
        </w:rPr>
      </w:pPr>
      <w:r>
        <w:rPr>
          <w:rFonts w:eastAsia="Palatino Linotype"/>
        </w:rPr>
        <w:t xml:space="preserve">Putra, A. (2024). </w:t>
      </w:r>
      <w:proofErr w:type="spellStart"/>
      <w:r>
        <w:rPr>
          <w:rFonts w:eastAsia="Palatino Linotype"/>
        </w:rPr>
        <w:t>Makna</w:t>
      </w:r>
      <w:proofErr w:type="spellEnd"/>
      <w:r>
        <w:rPr>
          <w:rFonts w:eastAsia="Palatino Linotype"/>
        </w:rPr>
        <w:t xml:space="preserve"> </w:t>
      </w:r>
      <w:proofErr w:type="spellStart"/>
      <w:r>
        <w:rPr>
          <w:rFonts w:eastAsia="Palatino Linotype"/>
        </w:rPr>
        <w:t>Sesajen</w:t>
      </w:r>
      <w:proofErr w:type="spellEnd"/>
      <w:r>
        <w:rPr>
          <w:rFonts w:eastAsia="Palatino Linotype"/>
        </w:rPr>
        <w:t xml:space="preserve"> </w:t>
      </w:r>
      <w:proofErr w:type="spellStart"/>
      <w:r>
        <w:rPr>
          <w:rFonts w:eastAsia="Palatino Linotype"/>
        </w:rPr>
        <w:t>Dalam</w:t>
      </w:r>
      <w:proofErr w:type="spellEnd"/>
      <w:r>
        <w:rPr>
          <w:rFonts w:eastAsia="Palatino Linotype"/>
        </w:rPr>
        <w:t xml:space="preserve"> </w:t>
      </w:r>
      <w:proofErr w:type="spellStart"/>
      <w:r>
        <w:rPr>
          <w:rFonts w:eastAsia="Palatino Linotype"/>
        </w:rPr>
        <w:t>Tradisi</w:t>
      </w:r>
      <w:proofErr w:type="spellEnd"/>
      <w:r>
        <w:rPr>
          <w:rFonts w:eastAsia="Palatino Linotype"/>
        </w:rPr>
        <w:t xml:space="preserve"> Sedekah Bumi </w:t>
      </w:r>
      <w:proofErr w:type="gramStart"/>
      <w:r>
        <w:rPr>
          <w:rFonts w:eastAsia="Palatino Linotype"/>
        </w:rPr>
        <w:t>Di</w:t>
      </w:r>
      <w:proofErr w:type="gramEnd"/>
      <w:r>
        <w:rPr>
          <w:rFonts w:eastAsia="Palatino Linotype"/>
        </w:rPr>
        <w:t xml:space="preserve"> Dusun Krajan, Desa Tunahan: Kajian </w:t>
      </w:r>
      <w:proofErr w:type="spellStart"/>
      <w:r>
        <w:rPr>
          <w:rFonts w:eastAsia="Palatino Linotype"/>
        </w:rPr>
        <w:t>Eksploratif</w:t>
      </w:r>
      <w:proofErr w:type="spellEnd"/>
      <w:r>
        <w:rPr>
          <w:rFonts w:eastAsia="Palatino Linotype"/>
        </w:rPr>
        <w:t xml:space="preserve"> </w:t>
      </w:r>
      <w:proofErr w:type="spellStart"/>
      <w:r>
        <w:rPr>
          <w:rFonts w:eastAsia="Palatino Linotype"/>
        </w:rPr>
        <w:t>Berdasarkan</w:t>
      </w:r>
      <w:proofErr w:type="spellEnd"/>
      <w:r>
        <w:rPr>
          <w:rFonts w:eastAsia="Palatino Linotype"/>
        </w:rPr>
        <w:t xml:space="preserve"> </w:t>
      </w:r>
      <w:proofErr w:type="spellStart"/>
      <w:r>
        <w:rPr>
          <w:rFonts w:eastAsia="Palatino Linotype"/>
        </w:rPr>
        <w:t>Konsep</w:t>
      </w:r>
      <w:proofErr w:type="spellEnd"/>
      <w:r>
        <w:rPr>
          <w:rFonts w:eastAsia="Palatino Linotype"/>
        </w:rPr>
        <w:t xml:space="preserve"> </w:t>
      </w:r>
      <w:proofErr w:type="spellStart"/>
      <w:r>
        <w:rPr>
          <w:rFonts w:eastAsia="Palatino Linotype"/>
        </w:rPr>
        <w:t>Pattidāna</w:t>
      </w:r>
      <w:proofErr w:type="spellEnd"/>
      <w:r>
        <w:rPr>
          <w:rFonts w:eastAsia="Palatino Linotype"/>
        </w:rPr>
        <w:t xml:space="preserve"> </w:t>
      </w:r>
      <w:proofErr w:type="spellStart"/>
      <w:r>
        <w:rPr>
          <w:rFonts w:eastAsia="Palatino Linotype"/>
        </w:rPr>
        <w:t>Dalam</w:t>
      </w:r>
      <w:proofErr w:type="spellEnd"/>
      <w:r>
        <w:rPr>
          <w:rFonts w:eastAsia="Palatino Linotype"/>
        </w:rPr>
        <w:t xml:space="preserve"> </w:t>
      </w:r>
      <w:proofErr w:type="spellStart"/>
      <w:r>
        <w:rPr>
          <w:rFonts w:eastAsia="Palatino Linotype"/>
        </w:rPr>
        <w:t>Ajaran</w:t>
      </w:r>
      <w:proofErr w:type="spellEnd"/>
      <w:r>
        <w:rPr>
          <w:rFonts w:eastAsia="Palatino Linotype"/>
        </w:rPr>
        <w:t xml:space="preserve"> Buddhis </w:t>
      </w:r>
      <w:proofErr w:type="spellStart"/>
      <w:r>
        <w:rPr>
          <w:rFonts w:eastAsia="Palatino Linotype"/>
        </w:rPr>
        <w:t>Theravāda</w:t>
      </w:r>
      <w:proofErr w:type="spellEnd"/>
      <w:r>
        <w:rPr>
          <w:rFonts w:eastAsia="Palatino Linotype"/>
        </w:rPr>
        <w:t xml:space="preserve">. </w:t>
      </w:r>
      <w:proofErr w:type="spellStart"/>
      <w:r>
        <w:rPr>
          <w:rFonts w:eastAsia="Palatino Linotype"/>
        </w:rPr>
        <w:t>Jurnal</w:t>
      </w:r>
      <w:proofErr w:type="spellEnd"/>
      <w:r>
        <w:rPr>
          <w:rFonts w:eastAsia="Palatino Linotype"/>
        </w:rPr>
        <w:t xml:space="preserve"> Budi </w:t>
      </w:r>
      <w:proofErr w:type="spellStart"/>
      <w:r>
        <w:rPr>
          <w:rFonts w:eastAsia="Palatino Linotype"/>
        </w:rPr>
        <w:t>Pekerti</w:t>
      </w:r>
      <w:proofErr w:type="spellEnd"/>
      <w:r>
        <w:rPr>
          <w:rFonts w:eastAsia="Palatino Linotype"/>
        </w:rPr>
        <w:t xml:space="preserve"> Agama Buddha, 2(4), 11-25.</w:t>
      </w:r>
    </w:p>
    <w:p w14:paraId="01792FC0" w14:textId="77777777" w:rsidR="00AF23E2" w:rsidRDefault="00000000">
      <w:pPr>
        <w:pStyle w:val="Alishlah71References"/>
        <w:rPr>
          <w:rFonts w:hint="eastAsia"/>
        </w:rPr>
      </w:pPr>
      <w:proofErr w:type="spellStart"/>
      <w:r>
        <w:rPr>
          <w:rFonts w:eastAsia="Palatino Linotype"/>
        </w:rPr>
        <w:t>Qori'ah</w:t>
      </w:r>
      <w:proofErr w:type="spellEnd"/>
      <w:r>
        <w:rPr>
          <w:rFonts w:eastAsia="Palatino Linotype"/>
        </w:rPr>
        <w:t xml:space="preserve">, A., Azhari, W., &amp; </w:t>
      </w:r>
      <w:proofErr w:type="spellStart"/>
      <w:r>
        <w:rPr>
          <w:rFonts w:eastAsia="Palatino Linotype"/>
        </w:rPr>
        <w:t>Arsyada</w:t>
      </w:r>
      <w:proofErr w:type="spellEnd"/>
      <w:r>
        <w:rPr>
          <w:rFonts w:eastAsia="Palatino Linotype"/>
        </w:rPr>
        <w:t xml:space="preserve">, R. M. Z. (2018). Sastra Lisan Mantra </w:t>
      </w:r>
      <w:proofErr w:type="spellStart"/>
      <w:r>
        <w:rPr>
          <w:rFonts w:eastAsia="Palatino Linotype"/>
        </w:rPr>
        <w:t>Ujub-Ujub</w:t>
      </w:r>
      <w:proofErr w:type="spellEnd"/>
      <w:r>
        <w:rPr>
          <w:rFonts w:eastAsia="Palatino Linotype"/>
        </w:rPr>
        <w:t xml:space="preserve">: </w:t>
      </w:r>
      <w:proofErr w:type="spellStart"/>
      <w:r>
        <w:rPr>
          <w:rFonts w:eastAsia="Palatino Linotype"/>
        </w:rPr>
        <w:t>Makna</w:t>
      </w:r>
      <w:proofErr w:type="spellEnd"/>
      <w:r>
        <w:rPr>
          <w:rFonts w:eastAsia="Palatino Linotype"/>
        </w:rPr>
        <w:t xml:space="preserve"> dan </w:t>
      </w:r>
      <w:proofErr w:type="spellStart"/>
      <w:r>
        <w:rPr>
          <w:rFonts w:eastAsia="Palatino Linotype"/>
        </w:rPr>
        <w:t>Fungsinya</w:t>
      </w:r>
      <w:proofErr w:type="spellEnd"/>
      <w:r>
        <w:rPr>
          <w:rFonts w:eastAsia="Palatino Linotype"/>
        </w:rPr>
        <w:t xml:space="preserve"> </w:t>
      </w:r>
      <w:proofErr w:type="spellStart"/>
      <w:r>
        <w:rPr>
          <w:rFonts w:eastAsia="Palatino Linotype"/>
        </w:rPr>
        <w:t>dalam</w:t>
      </w:r>
      <w:proofErr w:type="spellEnd"/>
      <w:r>
        <w:rPr>
          <w:rFonts w:eastAsia="Palatino Linotype"/>
        </w:rPr>
        <w:t xml:space="preserve"> Masyarakat Desa </w:t>
      </w:r>
      <w:proofErr w:type="spellStart"/>
      <w:r>
        <w:rPr>
          <w:rFonts w:eastAsia="Palatino Linotype"/>
        </w:rPr>
        <w:t>Karangrejo</w:t>
      </w:r>
      <w:proofErr w:type="spellEnd"/>
      <w:r>
        <w:rPr>
          <w:rFonts w:eastAsia="Palatino Linotype"/>
        </w:rPr>
        <w:t xml:space="preserve"> </w:t>
      </w:r>
      <w:proofErr w:type="spellStart"/>
      <w:r>
        <w:rPr>
          <w:rFonts w:eastAsia="Palatino Linotype"/>
        </w:rPr>
        <w:t>Kabupaten</w:t>
      </w:r>
      <w:proofErr w:type="spellEnd"/>
      <w:r>
        <w:rPr>
          <w:rFonts w:eastAsia="Palatino Linotype"/>
        </w:rPr>
        <w:t xml:space="preserve"> Malang Jawa Timur: Oral Literature of </w:t>
      </w:r>
      <w:proofErr w:type="spellStart"/>
      <w:r>
        <w:rPr>
          <w:rFonts w:eastAsia="Palatino Linotype"/>
        </w:rPr>
        <w:t>Ujub-Ujub</w:t>
      </w:r>
      <w:proofErr w:type="spellEnd"/>
      <w:r>
        <w:rPr>
          <w:rFonts w:eastAsia="Palatino Linotype"/>
        </w:rPr>
        <w:t xml:space="preserve"> Mantras: Meaning and Functions in the Community of </w:t>
      </w:r>
      <w:proofErr w:type="spellStart"/>
      <w:r>
        <w:rPr>
          <w:rFonts w:eastAsia="Palatino Linotype"/>
        </w:rPr>
        <w:t>Karangrejo</w:t>
      </w:r>
      <w:proofErr w:type="spellEnd"/>
      <w:r>
        <w:rPr>
          <w:rFonts w:eastAsia="Palatino Linotype"/>
        </w:rPr>
        <w:t xml:space="preserve"> Village, Malang Regency, East Java. </w:t>
      </w:r>
      <w:proofErr w:type="spellStart"/>
      <w:r>
        <w:rPr>
          <w:rFonts w:eastAsia="Palatino Linotype"/>
        </w:rPr>
        <w:t>Wacana</w:t>
      </w:r>
      <w:proofErr w:type="spellEnd"/>
      <w:r>
        <w:rPr>
          <w:rFonts w:eastAsia="Palatino Linotype"/>
        </w:rPr>
        <w:t xml:space="preserve">: </w:t>
      </w:r>
      <w:proofErr w:type="spellStart"/>
      <w:r>
        <w:rPr>
          <w:rFonts w:eastAsia="Palatino Linotype"/>
        </w:rPr>
        <w:t>Jurnal</w:t>
      </w:r>
      <w:proofErr w:type="spellEnd"/>
      <w:r>
        <w:rPr>
          <w:rFonts w:eastAsia="Palatino Linotype"/>
        </w:rPr>
        <w:t xml:space="preserve"> Bahasa, Seni, dan </w:t>
      </w:r>
      <w:proofErr w:type="spellStart"/>
      <w:r>
        <w:rPr>
          <w:rFonts w:eastAsia="Palatino Linotype"/>
        </w:rPr>
        <w:t>Pengajaran</w:t>
      </w:r>
      <w:proofErr w:type="spellEnd"/>
      <w:r>
        <w:rPr>
          <w:rFonts w:eastAsia="Palatino Linotype"/>
        </w:rPr>
        <w:t>, 2(2), 1-15. https://doi.org/10.29407/jbsp.v2i2.12133</w:t>
      </w:r>
    </w:p>
    <w:p w14:paraId="21298D0D" w14:textId="77777777" w:rsidR="00AF23E2" w:rsidRDefault="00000000">
      <w:pPr>
        <w:pStyle w:val="Alishlah71References"/>
        <w:rPr>
          <w:rFonts w:hint="eastAsia"/>
        </w:rPr>
      </w:pPr>
      <w:r>
        <w:rPr>
          <w:rFonts w:eastAsia="Palatino Linotype"/>
        </w:rPr>
        <w:t>Rahmawati, I. (2025). Integrating Local Cultural Values in Character Education: An Integrative Literature Review within the Indonesian Educational Context. Perfect Education Fairy, 3(4), 145-155. https://doi.org/10.56442/pef.v3i4.1261</w:t>
      </w:r>
    </w:p>
    <w:p w14:paraId="5214FD52" w14:textId="77777777" w:rsidR="00AF23E2" w:rsidRDefault="00000000">
      <w:pPr>
        <w:pStyle w:val="Alishlah71References"/>
        <w:rPr>
          <w:rFonts w:hint="eastAsia"/>
        </w:rPr>
      </w:pPr>
      <w:r>
        <w:rPr>
          <w:rFonts w:eastAsia="Palatino Linotype"/>
        </w:rPr>
        <w:t>Rizzo, R. (2024). Buddhism in Indonesia: A study of multiple revivals. Routledge.</w:t>
      </w:r>
    </w:p>
    <w:p w14:paraId="0A4710B7" w14:textId="77777777" w:rsidR="00AF23E2" w:rsidRDefault="00000000">
      <w:pPr>
        <w:pStyle w:val="Alishlah71References"/>
        <w:rPr>
          <w:rFonts w:hint="eastAsia"/>
        </w:rPr>
      </w:pPr>
      <w:proofErr w:type="spellStart"/>
      <w:r>
        <w:rPr>
          <w:rFonts w:eastAsia="Palatino Linotype"/>
        </w:rPr>
        <w:t>Ruswinarsih</w:t>
      </w:r>
      <w:proofErr w:type="spellEnd"/>
      <w:r>
        <w:rPr>
          <w:rFonts w:eastAsia="Palatino Linotype"/>
        </w:rPr>
        <w:t xml:space="preserve">, S., </w:t>
      </w:r>
      <w:proofErr w:type="spellStart"/>
      <w:r>
        <w:rPr>
          <w:rFonts w:eastAsia="Palatino Linotype"/>
        </w:rPr>
        <w:t>Budimansyah</w:t>
      </w:r>
      <w:proofErr w:type="spellEnd"/>
      <w:r>
        <w:rPr>
          <w:rFonts w:eastAsia="Palatino Linotype"/>
        </w:rPr>
        <w:t xml:space="preserve">, D., Wahyu, W., Sauri, S., &amp; </w:t>
      </w:r>
      <w:proofErr w:type="spellStart"/>
      <w:r>
        <w:rPr>
          <w:rFonts w:eastAsia="Palatino Linotype"/>
        </w:rPr>
        <w:t>Arofah</w:t>
      </w:r>
      <w:proofErr w:type="spellEnd"/>
      <w:r>
        <w:rPr>
          <w:rFonts w:eastAsia="Palatino Linotype"/>
        </w:rPr>
        <w:t>, L. (2025). Local Culture and Character Education Research Trends: A Decade-Long Bibliometric Study. IJORER: International Journal of Recent Educational Research, 6(5), 1340-1358. https://doi.org/10.46245/ijorer.v6i5.912</w:t>
      </w:r>
    </w:p>
    <w:p w14:paraId="6358F713" w14:textId="77777777" w:rsidR="00AF23E2" w:rsidRDefault="00000000">
      <w:pPr>
        <w:pStyle w:val="Alishlah71References"/>
        <w:rPr>
          <w:rFonts w:hint="eastAsia"/>
        </w:rPr>
      </w:pPr>
      <w:r>
        <w:rPr>
          <w:rFonts w:eastAsia="Palatino Linotype"/>
        </w:rPr>
        <w:t xml:space="preserve">Sakti, S. A., </w:t>
      </w:r>
      <w:proofErr w:type="spellStart"/>
      <w:r>
        <w:rPr>
          <w:rFonts w:eastAsia="Palatino Linotype"/>
        </w:rPr>
        <w:t>Endraswara</w:t>
      </w:r>
      <w:proofErr w:type="spellEnd"/>
      <w:r>
        <w:rPr>
          <w:rFonts w:eastAsia="Palatino Linotype"/>
        </w:rPr>
        <w:t xml:space="preserve">, S., &amp; Rohman, A. (2024). Revitalizing local wisdom within character education through </w:t>
      </w:r>
      <w:proofErr w:type="spellStart"/>
      <w:r>
        <w:rPr>
          <w:rFonts w:eastAsia="Palatino Linotype"/>
        </w:rPr>
        <w:t>ethnopedagogy</w:t>
      </w:r>
      <w:proofErr w:type="spellEnd"/>
      <w:r>
        <w:rPr>
          <w:rFonts w:eastAsia="Palatino Linotype"/>
        </w:rPr>
        <w:t xml:space="preserve"> approach: A case study on a preschool in Yogyakarta. </w:t>
      </w:r>
      <w:proofErr w:type="spellStart"/>
      <w:r>
        <w:rPr>
          <w:rFonts w:eastAsia="Palatino Linotype"/>
        </w:rPr>
        <w:t>Heliyon</w:t>
      </w:r>
      <w:proofErr w:type="spellEnd"/>
      <w:r>
        <w:rPr>
          <w:rFonts w:eastAsia="Palatino Linotype"/>
        </w:rPr>
        <w:t>, 10(10). https://doi.org/10.1016/j.heliyon.2024.e31370</w:t>
      </w:r>
    </w:p>
    <w:p w14:paraId="670B6F63" w14:textId="77777777" w:rsidR="00AF23E2" w:rsidRDefault="00000000">
      <w:pPr>
        <w:pStyle w:val="Alishlah71References"/>
        <w:rPr>
          <w:rFonts w:hint="eastAsia"/>
        </w:rPr>
      </w:pPr>
      <w:proofErr w:type="spellStart"/>
      <w:r>
        <w:rPr>
          <w:rFonts w:eastAsia="Palatino Linotype"/>
        </w:rPr>
        <w:t>Shalihat</w:t>
      </w:r>
      <w:proofErr w:type="spellEnd"/>
      <w:r>
        <w:rPr>
          <w:rFonts w:eastAsia="Palatino Linotype"/>
        </w:rPr>
        <w:t xml:space="preserve">, E., </w:t>
      </w:r>
      <w:proofErr w:type="spellStart"/>
      <w:r>
        <w:rPr>
          <w:rFonts w:eastAsia="Palatino Linotype"/>
        </w:rPr>
        <w:t>Suciptaningsih</w:t>
      </w:r>
      <w:proofErr w:type="spellEnd"/>
      <w:r>
        <w:rPr>
          <w:rFonts w:eastAsia="Palatino Linotype"/>
        </w:rPr>
        <w:t xml:space="preserve">, O. A., </w:t>
      </w:r>
      <w:proofErr w:type="spellStart"/>
      <w:r>
        <w:rPr>
          <w:rFonts w:eastAsia="Palatino Linotype"/>
        </w:rPr>
        <w:t>Mashfufah</w:t>
      </w:r>
      <w:proofErr w:type="spellEnd"/>
      <w:r>
        <w:rPr>
          <w:rFonts w:eastAsia="Palatino Linotype"/>
        </w:rPr>
        <w:t xml:space="preserve">, A., &amp; </w:t>
      </w:r>
      <w:proofErr w:type="spellStart"/>
      <w:r>
        <w:rPr>
          <w:rFonts w:eastAsia="Palatino Linotype"/>
        </w:rPr>
        <w:t>Anggraini</w:t>
      </w:r>
      <w:proofErr w:type="spellEnd"/>
      <w:r>
        <w:rPr>
          <w:rFonts w:eastAsia="Palatino Linotype"/>
        </w:rPr>
        <w:t xml:space="preserve">, A. E. (2025). Integrating </w:t>
      </w:r>
      <w:proofErr w:type="spellStart"/>
      <w:r>
        <w:rPr>
          <w:rFonts w:eastAsia="Palatino Linotype"/>
        </w:rPr>
        <w:t>Begibung</w:t>
      </w:r>
      <w:proofErr w:type="spellEnd"/>
      <w:r>
        <w:rPr>
          <w:rFonts w:eastAsia="Palatino Linotype"/>
        </w:rPr>
        <w:t xml:space="preserve"> Tradition Values in Elementary Education: An </w:t>
      </w:r>
      <w:proofErr w:type="spellStart"/>
      <w:r>
        <w:rPr>
          <w:rFonts w:eastAsia="Palatino Linotype"/>
        </w:rPr>
        <w:t>Ethnopedagogical</w:t>
      </w:r>
      <w:proofErr w:type="spellEnd"/>
      <w:r>
        <w:rPr>
          <w:rFonts w:eastAsia="Palatino Linotype"/>
        </w:rPr>
        <w:t xml:space="preserve"> Approach to Character Development. Journal of Innovation and Research in Primary Education, 4(4), 4171-4183. https://doi.org/10.56916/jirpe.v4i4.2638</w:t>
      </w:r>
    </w:p>
    <w:p w14:paraId="3CBD20DA" w14:textId="77777777" w:rsidR="00AF23E2" w:rsidRDefault="00000000">
      <w:pPr>
        <w:pStyle w:val="Alishlah71References"/>
        <w:rPr>
          <w:rFonts w:hint="eastAsia"/>
        </w:rPr>
      </w:pPr>
      <w:r>
        <w:rPr>
          <w:rFonts w:eastAsia="Palatino Linotype"/>
        </w:rPr>
        <w:lastRenderedPageBreak/>
        <w:t xml:space="preserve">Sholeh, M. I., </w:t>
      </w:r>
      <w:proofErr w:type="spellStart"/>
      <w:r>
        <w:rPr>
          <w:rFonts w:eastAsia="Palatino Linotype"/>
        </w:rPr>
        <w:t>Habibulloh</w:t>
      </w:r>
      <w:proofErr w:type="spellEnd"/>
      <w:r>
        <w:rPr>
          <w:rFonts w:eastAsia="Palatino Linotype"/>
        </w:rPr>
        <w:t xml:space="preserve">, M., Al Farisy, F., &amp; binti Ab Rahman, S. F. (2025). Integration of Islamic Values and Local Culture in Early Childhood Education Curriculum. </w:t>
      </w:r>
      <w:proofErr w:type="spellStart"/>
      <w:r>
        <w:rPr>
          <w:rFonts w:eastAsia="Palatino Linotype"/>
        </w:rPr>
        <w:t>Jurnal</w:t>
      </w:r>
      <w:proofErr w:type="spellEnd"/>
      <w:r>
        <w:rPr>
          <w:rFonts w:eastAsia="Palatino Linotype"/>
        </w:rPr>
        <w:t xml:space="preserve"> Al Burhan, 5(1), 126-142. https://doi.org/10.58988/jab.v5i1.433</w:t>
      </w:r>
    </w:p>
    <w:p w14:paraId="3EA216A6" w14:textId="77777777" w:rsidR="00AF23E2" w:rsidRDefault="00000000">
      <w:pPr>
        <w:pStyle w:val="Alishlah71References"/>
        <w:rPr>
          <w:rFonts w:hint="eastAsia"/>
        </w:rPr>
      </w:pPr>
      <w:proofErr w:type="spellStart"/>
      <w:r>
        <w:rPr>
          <w:rFonts w:eastAsia="Palatino Linotype"/>
        </w:rPr>
        <w:t>Sudarto</w:t>
      </w:r>
      <w:proofErr w:type="spellEnd"/>
      <w:r>
        <w:rPr>
          <w:rFonts w:eastAsia="Palatino Linotype"/>
        </w:rPr>
        <w:t xml:space="preserve">, S. (2022). </w:t>
      </w:r>
      <w:proofErr w:type="spellStart"/>
      <w:r>
        <w:rPr>
          <w:rFonts w:eastAsia="Palatino Linotype"/>
        </w:rPr>
        <w:t>Makna</w:t>
      </w:r>
      <w:proofErr w:type="spellEnd"/>
      <w:r>
        <w:rPr>
          <w:rFonts w:eastAsia="Palatino Linotype"/>
        </w:rPr>
        <w:t xml:space="preserve"> </w:t>
      </w:r>
      <w:proofErr w:type="spellStart"/>
      <w:r>
        <w:rPr>
          <w:rFonts w:eastAsia="Palatino Linotype"/>
        </w:rPr>
        <w:t>Simbolik</w:t>
      </w:r>
      <w:proofErr w:type="spellEnd"/>
      <w:r>
        <w:rPr>
          <w:rFonts w:eastAsia="Palatino Linotype"/>
        </w:rPr>
        <w:t xml:space="preserve"> Dan Nilai-Nilai Buddhis Pada </w:t>
      </w:r>
      <w:proofErr w:type="spellStart"/>
      <w:r>
        <w:rPr>
          <w:rFonts w:eastAsia="Palatino Linotype"/>
        </w:rPr>
        <w:t>Tradisi</w:t>
      </w:r>
      <w:proofErr w:type="spellEnd"/>
      <w:r>
        <w:rPr>
          <w:rFonts w:eastAsia="Palatino Linotype"/>
        </w:rPr>
        <w:t xml:space="preserve"> </w:t>
      </w:r>
      <w:proofErr w:type="spellStart"/>
      <w:r>
        <w:rPr>
          <w:rFonts w:eastAsia="Palatino Linotype"/>
        </w:rPr>
        <w:t>Pemberian</w:t>
      </w:r>
      <w:proofErr w:type="spellEnd"/>
      <w:r>
        <w:rPr>
          <w:rFonts w:eastAsia="Palatino Linotype"/>
        </w:rPr>
        <w:t xml:space="preserve"> Nama Orang Jawa (</w:t>
      </w:r>
      <w:proofErr w:type="spellStart"/>
      <w:r>
        <w:rPr>
          <w:rFonts w:eastAsia="Palatino Linotype"/>
        </w:rPr>
        <w:t>Suatu</w:t>
      </w:r>
      <w:proofErr w:type="spellEnd"/>
      <w:r>
        <w:rPr>
          <w:rFonts w:eastAsia="Palatino Linotype"/>
        </w:rPr>
        <w:t xml:space="preserve"> </w:t>
      </w:r>
      <w:proofErr w:type="spellStart"/>
      <w:r>
        <w:rPr>
          <w:rFonts w:eastAsia="Palatino Linotype"/>
        </w:rPr>
        <w:t>Tinjauan</w:t>
      </w:r>
      <w:proofErr w:type="spellEnd"/>
      <w:r>
        <w:rPr>
          <w:rFonts w:eastAsia="Palatino Linotype"/>
        </w:rPr>
        <w:t xml:space="preserve"> Semiotik). Al Qalam: </w:t>
      </w:r>
      <w:proofErr w:type="spellStart"/>
      <w:r>
        <w:rPr>
          <w:rFonts w:eastAsia="Palatino Linotype"/>
        </w:rPr>
        <w:t>Jurnal</w:t>
      </w:r>
      <w:proofErr w:type="spellEnd"/>
      <w:r>
        <w:rPr>
          <w:rFonts w:eastAsia="Palatino Linotype"/>
        </w:rPr>
        <w:t xml:space="preserve"> </w:t>
      </w:r>
      <w:proofErr w:type="spellStart"/>
      <w:r>
        <w:rPr>
          <w:rFonts w:eastAsia="Palatino Linotype"/>
        </w:rPr>
        <w:t>Ilmiah</w:t>
      </w:r>
      <w:proofErr w:type="spellEnd"/>
      <w:r>
        <w:rPr>
          <w:rFonts w:eastAsia="Palatino Linotype"/>
        </w:rPr>
        <w:t xml:space="preserve"> Keagamaan dan </w:t>
      </w:r>
      <w:proofErr w:type="spellStart"/>
      <w:r>
        <w:rPr>
          <w:rFonts w:eastAsia="Palatino Linotype"/>
        </w:rPr>
        <w:t>Kemasyarakatan</w:t>
      </w:r>
      <w:proofErr w:type="spellEnd"/>
      <w:r>
        <w:rPr>
          <w:rFonts w:eastAsia="Palatino Linotype"/>
        </w:rPr>
        <w:t>, 16(1), 320-343. https://doi.org/10.35931/aq.v16i1.860</w:t>
      </w:r>
    </w:p>
    <w:p w14:paraId="6B4BB4C5" w14:textId="77777777" w:rsidR="00AF23E2" w:rsidRDefault="00000000">
      <w:pPr>
        <w:pStyle w:val="Alishlah71References"/>
        <w:rPr>
          <w:rFonts w:hint="eastAsia"/>
        </w:rPr>
      </w:pPr>
      <w:r>
        <w:rPr>
          <w:rFonts w:eastAsia="Palatino Linotype"/>
        </w:rPr>
        <w:t xml:space="preserve">Sukma, A. E., </w:t>
      </w:r>
      <w:proofErr w:type="spellStart"/>
      <w:r>
        <w:rPr>
          <w:rFonts w:eastAsia="Palatino Linotype"/>
        </w:rPr>
        <w:t>Sugiharto</w:t>
      </w:r>
      <w:proofErr w:type="spellEnd"/>
      <w:r>
        <w:rPr>
          <w:rFonts w:eastAsia="Palatino Linotype"/>
        </w:rPr>
        <w:t xml:space="preserve">, S., &amp; </w:t>
      </w:r>
      <w:proofErr w:type="spellStart"/>
      <w:r>
        <w:rPr>
          <w:rFonts w:eastAsia="Palatino Linotype"/>
        </w:rPr>
        <w:t>Sudhammacari</w:t>
      </w:r>
      <w:proofErr w:type="spellEnd"/>
      <w:r>
        <w:rPr>
          <w:rFonts w:eastAsia="Palatino Linotype"/>
        </w:rPr>
        <w:t xml:space="preserve">, S. (2025). Javanese in Buddhist Devotion: Linguistic Identity and Spiritual Depth in Puja Bhakti. </w:t>
      </w:r>
      <w:proofErr w:type="spellStart"/>
      <w:r>
        <w:rPr>
          <w:rFonts w:eastAsia="Palatino Linotype"/>
        </w:rPr>
        <w:t>Subhasita</w:t>
      </w:r>
      <w:proofErr w:type="spellEnd"/>
      <w:r>
        <w:rPr>
          <w:rFonts w:eastAsia="Palatino Linotype"/>
        </w:rPr>
        <w:t>: Journal of Buddhist and Religious Studies, 3(1), 1-16. https://doi.org/10.53417/subhasita.94</w:t>
      </w:r>
    </w:p>
    <w:p w14:paraId="5262DAEF" w14:textId="77777777" w:rsidR="00AF23E2" w:rsidRDefault="00000000">
      <w:pPr>
        <w:pStyle w:val="Alishlah71References"/>
        <w:rPr>
          <w:rFonts w:hint="eastAsia"/>
        </w:rPr>
      </w:pPr>
      <w:r>
        <w:rPr>
          <w:rFonts w:eastAsia="Palatino Linotype"/>
        </w:rPr>
        <w:t xml:space="preserve">Tania, W., &amp; </w:t>
      </w:r>
      <w:proofErr w:type="spellStart"/>
      <w:r>
        <w:rPr>
          <w:rFonts w:eastAsia="Palatino Linotype"/>
        </w:rPr>
        <w:t>Yatno</w:t>
      </w:r>
      <w:proofErr w:type="spellEnd"/>
      <w:r>
        <w:rPr>
          <w:rFonts w:eastAsia="Palatino Linotype"/>
        </w:rPr>
        <w:t xml:space="preserve">, T. (2025). </w:t>
      </w:r>
      <w:proofErr w:type="spellStart"/>
      <w:r>
        <w:rPr>
          <w:rFonts w:eastAsia="Palatino Linotype"/>
        </w:rPr>
        <w:t>Akulturasi</w:t>
      </w:r>
      <w:proofErr w:type="spellEnd"/>
      <w:r>
        <w:rPr>
          <w:rFonts w:eastAsia="Palatino Linotype"/>
        </w:rPr>
        <w:t xml:space="preserve"> </w:t>
      </w:r>
      <w:proofErr w:type="spellStart"/>
      <w:r>
        <w:rPr>
          <w:rFonts w:eastAsia="Palatino Linotype"/>
        </w:rPr>
        <w:t>Buddhisme</w:t>
      </w:r>
      <w:proofErr w:type="spellEnd"/>
      <w:r>
        <w:rPr>
          <w:rFonts w:eastAsia="Palatino Linotype"/>
        </w:rPr>
        <w:t xml:space="preserve"> di Jawa: Integrasi </w:t>
      </w:r>
      <w:proofErr w:type="spellStart"/>
      <w:r>
        <w:rPr>
          <w:rFonts w:eastAsia="Palatino Linotype"/>
        </w:rPr>
        <w:t>Ajaran</w:t>
      </w:r>
      <w:proofErr w:type="spellEnd"/>
      <w:r>
        <w:rPr>
          <w:rFonts w:eastAsia="Palatino Linotype"/>
        </w:rPr>
        <w:t xml:space="preserve"> Buddha dan </w:t>
      </w:r>
      <w:proofErr w:type="spellStart"/>
      <w:r>
        <w:rPr>
          <w:rFonts w:eastAsia="Palatino Linotype"/>
        </w:rPr>
        <w:t>Budaya</w:t>
      </w:r>
      <w:proofErr w:type="spellEnd"/>
      <w:r>
        <w:rPr>
          <w:rFonts w:eastAsia="Palatino Linotype"/>
        </w:rPr>
        <w:t xml:space="preserve"> Lokal </w:t>
      </w:r>
      <w:proofErr w:type="spellStart"/>
      <w:r>
        <w:rPr>
          <w:rFonts w:eastAsia="Palatino Linotype"/>
        </w:rPr>
        <w:t>dalam</w:t>
      </w:r>
      <w:proofErr w:type="spellEnd"/>
      <w:r>
        <w:rPr>
          <w:rFonts w:eastAsia="Palatino Linotype"/>
        </w:rPr>
        <w:t xml:space="preserve"> </w:t>
      </w:r>
      <w:proofErr w:type="spellStart"/>
      <w:r>
        <w:rPr>
          <w:rFonts w:eastAsia="Palatino Linotype"/>
        </w:rPr>
        <w:t>Pembentukan</w:t>
      </w:r>
      <w:proofErr w:type="spellEnd"/>
      <w:r>
        <w:rPr>
          <w:rFonts w:eastAsia="Palatino Linotype"/>
        </w:rPr>
        <w:t xml:space="preserve"> </w:t>
      </w:r>
      <w:proofErr w:type="spellStart"/>
      <w:r>
        <w:rPr>
          <w:rFonts w:eastAsia="Palatino Linotype"/>
        </w:rPr>
        <w:t>Simbolik</w:t>
      </w:r>
      <w:proofErr w:type="spellEnd"/>
      <w:r>
        <w:rPr>
          <w:rFonts w:eastAsia="Palatino Linotype"/>
        </w:rPr>
        <w:t xml:space="preserve"> Sosial. </w:t>
      </w:r>
      <w:proofErr w:type="spellStart"/>
      <w:r>
        <w:rPr>
          <w:rFonts w:eastAsia="Palatino Linotype"/>
        </w:rPr>
        <w:t>Jurnal</w:t>
      </w:r>
      <w:proofErr w:type="spellEnd"/>
      <w:r>
        <w:rPr>
          <w:rFonts w:eastAsia="Palatino Linotype"/>
        </w:rPr>
        <w:t xml:space="preserve"> Budi </w:t>
      </w:r>
      <w:proofErr w:type="spellStart"/>
      <w:r>
        <w:rPr>
          <w:rFonts w:eastAsia="Palatino Linotype"/>
        </w:rPr>
        <w:t>Pekerti</w:t>
      </w:r>
      <w:proofErr w:type="spellEnd"/>
      <w:r>
        <w:rPr>
          <w:rFonts w:eastAsia="Palatino Linotype"/>
        </w:rPr>
        <w:t xml:space="preserve"> Agama Buddha, 3(3), 29-40. https://doi.org/10.61132/jbpab.v3i3.1842</w:t>
      </w:r>
    </w:p>
    <w:p w14:paraId="3575D5EC" w14:textId="77777777" w:rsidR="00AF23E2" w:rsidRDefault="00000000">
      <w:pPr>
        <w:pStyle w:val="Alishlah71References"/>
        <w:rPr>
          <w:rFonts w:hint="eastAsia"/>
        </w:rPr>
      </w:pPr>
      <w:r>
        <w:rPr>
          <w:rFonts w:eastAsia="Palatino Linotype"/>
        </w:rPr>
        <w:t>Turner, V., Abrahams, R., &amp; Harris, A. (2017). The ritual process: Structure and anti-structure. Routledge.</w:t>
      </w:r>
    </w:p>
    <w:p w14:paraId="049C8313" w14:textId="77777777" w:rsidR="00AF23E2" w:rsidRDefault="00000000">
      <w:pPr>
        <w:pStyle w:val="Alishlah71References"/>
        <w:rPr>
          <w:rFonts w:hint="eastAsia"/>
        </w:rPr>
      </w:pPr>
      <w:r>
        <w:rPr>
          <w:rFonts w:eastAsia="Palatino Linotype"/>
        </w:rPr>
        <w:t xml:space="preserve">Vidya, D., &amp; Utami, S. (2024). Pendidikan </w:t>
      </w:r>
      <w:proofErr w:type="spellStart"/>
      <w:r>
        <w:rPr>
          <w:rFonts w:eastAsia="Palatino Linotype"/>
        </w:rPr>
        <w:t>karakter</w:t>
      </w:r>
      <w:proofErr w:type="spellEnd"/>
      <w:r>
        <w:rPr>
          <w:rFonts w:eastAsia="Palatino Linotype"/>
        </w:rPr>
        <w:t xml:space="preserve"> </w:t>
      </w:r>
      <w:proofErr w:type="spellStart"/>
      <w:r>
        <w:rPr>
          <w:rFonts w:eastAsia="Palatino Linotype"/>
        </w:rPr>
        <w:t>dalam</w:t>
      </w:r>
      <w:proofErr w:type="spellEnd"/>
      <w:r>
        <w:rPr>
          <w:rFonts w:eastAsia="Palatino Linotype"/>
        </w:rPr>
        <w:t xml:space="preserve"> </w:t>
      </w:r>
      <w:proofErr w:type="spellStart"/>
      <w:r>
        <w:rPr>
          <w:rFonts w:eastAsia="Palatino Linotype"/>
        </w:rPr>
        <w:t>pandangan</w:t>
      </w:r>
      <w:proofErr w:type="spellEnd"/>
      <w:r>
        <w:rPr>
          <w:rFonts w:eastAsia="Palatino Linotype"/>
        </w:rPr>
        <w:t xml:space="preserve"> agama Buddha. </w:t>
      </w:r>
      <w:proofErr w:type="spellStart"/>
      <w:r>
        <w:rPr>
          <w:rFonts w:eastAsia="Palatino Linotype"/>
        </w:rPr>
        <w:t>Vijjacariya</w:t>
      </w:r>
      <w:proofErr w:type="spellEnd"/>
      <w:r>
        <w:rPr>
          <w:rFonts w:eastAsia="Palatino Linotype"/>
        </w:rPr>
        <w:t xml:space="preserve">: </w:t>
      </w:r>
      <w:proofErr w:type="spellStart"/>
      <w:r>
        <w:rPr>
          <w:rFonts w:eastAsia="Palatino Linotype"/>
        </w:rPr>
        <w:t>Jurnal</w:t>
      </w:r>
      <w:proofErr w:type="spellEnd"/>
      <w:r>
        <w:rPr>
          <w:rFonts w:eastAsia="Palatino Linotype"/>
        </w:rPr>
        <w:t xml:space="preserve"> </w:t>
      </w:r>
      <w:proofErr w:type="spellStart"/>
      <w:r>
        <w:rPr>
          <w:rFonts w:eastAsia="Palatino Linotype"/>
        </w:rPr>
        <w:t>Pemikiran</w:t>
      </w:r>
      <w:proofErr w:type="spellEnd"/>
      <w:r>
        <w:rPr>
          <w:rFonts w:eastAsia="Palatino Linotype"/>
        </w:rPr>
        <w:t xml:space="preserve"> Dan Pendidikan Buddhis, 11(1). https://doi.org/10.69835/vjp.v11i1.488</w:t>
      </w:r>
    </w:p>
    <w:sectPr w:rsidR="00AF23E2">
      <w:headerReference w:type="even" r:id="rId10"/>
      <w:headerReference w:type="default" r:id="rId11"/>
      <w:footerReference w:type="even" r:id="rId12"/>
      <w:footerReference w:type="default" r:id="rId13"/>
      <w:headerReference w:type="first" r:id="rId14"/>
      <w:footerReference w:type="first" r:id="rId15"/>
      <w:pgSz w:w="11906" w:h="16838"/>
      <w:pgMar w:top="1418" w:right="1440" w:bottom="1440" w:left="1440" w:header="851" w:footer="709" w:gutter="0"/>
      <w:pgNumType w:start="1"/>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BEF9B" w14:textId="77777777" w:rsidR="00987677" w:rsidRDefault="00987677">
      <w:pPr>
        <w:spacing w:after="0" w:line="240" w:lineRule="auto"/>
      </w:pPr>
      <w:r>
        <w:separator/>
      </w:r>
    </w:p>
  </w:endnote>
  <w:endnote w:type="continuationSeparator" w:id="0">
    <w:p w14:paraId="38E02F32" w14:textId="77777777" w:rsidR="00987677" w:rsidRDefault="00987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font>
  <w:font w:name="Palatino Linotype">
    <w:panose1 w:val="02040502050505030304"/>
    <w:charset w:val="00"/>
    <w:family w:val="roman"/>
    <w:pitch w:val="variable"/>
    <w:sig w:usb0="E0000287" w:usb1="40000013" w:usb2="00000000" w:usb3="00000000" w:csb0="0000019F" w:csb1="00000000"/>
  </w:font>
  <w:font w:name="Liberation Sans">
    <w:altName w:val="Arial"/>
    <w:charset w:val="00"/>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Georgia">
    <w:panose1 w:val="02040502050405020303"/>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D8B30" w14:textId="77777777" w:rsidR="00AF23E2" w:rsidRDefault="00AF23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286E9" w14:textId="77777777" w:rsidR="00AF23E2" w:rsidRDefault="00000000">
    <w:pPr>
      <w:pStyle w:val="Footer"/>
    </w:pPr>
    <w:r>
      <w:rPr>
        <w:rFonts w:ascii="Palatino Linotype" w:eastAsia="Palatino Linotype" w:hAnsi="Palatino Linotype"/>
        <w:i/>
        <w:sz w:val="18"/>
      </w:rPr>
      <w:t>Niken Wardani/</w:t>
    </w:r>
    <w:proofErr w:type="spellStart"/>
    <w:r>
      <w:rPr>
        <w:rFonts w:ascii="Palatino Linotype" w:eastAsia="Palatino Linotype" w:hAnsi="Palatino Linotype"/>
        <w:i/>
        <w:sz w:val="18"/>
      </w:rPr>
      <w:t>Ujub</w:t>
    </w:r>
    <w:proofErr w:type="spellEnd"/>
    <w:r>
      <w:rPr>
        <w:rFonts w:ascii="Palatino Linotype" w:eastAsia="Palatino Linotype" w:hAnsi="Palatino Linotype"/>
        <w:i/>
        <w:sz w:val="18"/>
      </w:rPr>
      <w:t xml:space="preserve"> </w:t>
    </w:r>
    <w:proofErr w:type="spellStart"/>
    <w:r>
      <w:rPr>
        <w:rFonts w:ascii="Palatino Linotype" w:eastAsia="Palatino Linotype" w:hAnsi="Palatino Linotype"/>
        <w:i/>
        <w:sz w:val="18"/>
      </w:rPr>
      <w:t>Sesaji</w:t>
    </w:r>
    <w:proofErr w:type="spellEnd"/>
    <w:r>
      <w:rPr>
        <w:rFonts w:ascii="Palatino Linotype" w:eastAsia="Palatino Linotype" w:hAnsi="Palatino Linotype"/>
        <w:i/>
        <w:sz w:val="18"/>
      </w:rPr>
      <w:t xml:space="preserve"> as a Vehicle of Character Education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94E6F" w14:textId="77777777" w:rsidR="00AF23E2" w:rsidRDefault="00000000">
    <w:pPr>
      <w:tabs>
        <w:tab w:val="right" w:pos="8844"/>
      </w:tabs>
      <w:snapToGrid w:val="0"/>
      <w:spacing w:before="120" w:line="240" w:lineRule="auto"/>
      <w:jc w:val="center"/>
      <w:rPr>
        <w:rFonts w:ascii="Palatino Linotype" w:hAnsi="Palatino Linotype" w:hint="eastAsia"/>
        <w:sz w:val="16"/>
        <w:szCs w:val="16"/>
        <w:lang w:val="fr-CH"/>
      </w:rPr>
    </w:pPr>
    <w:r>
      <w:rPr>
        <w:rFonts w:ascii="Palatino Linotype" w:eastAsia="Palatino Linotype" w:hAnsi="Palatino Linotype"/>
        <w:sz w:val="18"/>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AD2B0" w14:textId="77777777" w:rsidR="00987677" w:rsidRDefault="00987677">
      <w:pPr>
        <w:spacing w:after="0" w:line="240" w:lineRule="auto"/>
      </w:pPr>
      <w:r>
        <w:separator/>
      </w:r>
    </w:p>
  </w:footnote>
  <w:footnote w:type="continuationSeparator" w:id="0">
    <w:p w14:paraId="04D3E721" w14:textId="77777777" w:rsidR="00987677" w:rsidRDefault="009876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C1B3B" w14:textId="77777777" w:rsidR="00AF23E2" w:rsidRDefault="00AF23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52A95" w14:textId="77777777" w:rsidR="00AF23E2" w:rsidRDefault="00000000">
    <w:pPr>
      <w:tabs>
        <w:tab w:val="right" w:pos="9360"/>
      </w:tabs>
      <w:snapToGrid w:val="0"/>
      <w:spacing w:after="240" w:line="240" w:lineRule="auto"/>
      <w:rPr>
        <w:rFonts w:ascii="Palatino Linotype" w:hAnsi="Palatino Linotype" w:hint="eastAsia"/>
        <w:sz w:val="16"/>
      </w:rPr>
    </w:pPr>
    <w:r>
      <w:rPr>
        <w:rFonts w:ascii="Palatino Linotype" w:eastAsia="Palatino Linotype" w:hAnsi="Palatino Linotype"/>
        <w:i/>
        <w:sz w:val="18"/>
      </w:rPr>
      <w:t>Al-</w:t>
    </w:r>
    <w:proofErr w:type="spellStart"/>
    <w:r>
      <w:rPr>
        <w:rFonts w:ascii="Palatino Linotype" w:eastAsia="Palatino Linotype" w:hAnsi="Palatino Linotype"/>
        <w:i/>
        <w:sz w:val="18"/>
      </w:rPr>
      <w:t>Ishlah</w:t>
    </w:r>
    <w:proofErr w:type="spellEnd"/>
    <w:r>
      <w:rPr>
        <w:rFonts w:ascii="Palatino Linotype" w:eastAsia="Palatino Linotype" w:hAnsi="Palatino Linotype"/>
        <w:i/>
        <w:sz w:val="18"/>
      </w:rPr>
      <w:t xml:space="preserve">: </w:t>
    </w:r>
    <w:proofErr w:type="spellStart"/>
    <w:r>
      <w:rPr>
        <w:rFonts w:ascii="Palatino Linotype" w:eastAsia="Palatino Linotype" w:hAnsi="Palatino Linotype"/>
        <w:i/>
        <w:sz w:val="18"/>
      </w:rPr>
      <w:t>Jurnal</w:t>
    </w:r>
    <w:proofErr w:type="spellEnd"/>
    <w:r>
      <w:rPr>
        <w:rFonts w:ascii="Palatino Linotype" w:eastAsia="Palatino Linotype" w:hAnsi="Palatino Linotype"/>
        <w:i/>
        <w:sz w:val="18"/>
      </w:rPr>
      <w:t xml:space="preserve"> Pendidikan, Vol. xx, No. xx (2026): xx-xx</w:t>
    </w:r>
    <w:r>
      <w:tab/>
    </w:r>
    <w:r>
      <w:fldChar w:fldCharType="begin"/>
    </w:r>
    <w:r>
      <w:instrText>PAGE \* MERGEFORMAT</w:instrText>
    </w:r>
    <w:r>
      <w:fldChar w:fldCharType="separate"/>
    </w:r>
    <w:r>
      <w:rPr>
        <w:i/>
        <w:sz w:val="18"/>
      </w:rPr>
      <w:t>1</w:t>
    </w:r>
    <w:r>
      <w:rPr>
        <w:i/>
        <w:sz w:val="18"/>
      </w:rPr>
      <w:fldChar w:fldCharType="end"/>
    </w:r>
    <w:r>
      <w:rPr>
        <w:rFonts w:ascii="Palatino Linotype" w:eastAsia="Palatino Linotype" w:hAnsi="Palatino Linotype"/>
        <w:i/>
        <w:sz w:val="18"/>
      </w:rPr>
      <w:t xml:space="preserve"> of </w:t>
    </w:r>
    <w:fldSimple w:instr="NUMPAGES \* MERGEFORMAT">
      <w:r>
        <w:rPr>
          <w:i/>
          <w:sz w:val="18"/>
        </w:rPr>
        <w:t>1</w:t>
      </w:r>
    </w:fldSimple>
  </w:p>
  <w:p w14:paraId="10DF5585" w14:textId="77777777" w:rsidR="00AF23E2" w:rsidRDefault="00AF23E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980F0" w14:textId="77777777" w:rsidR="00AF23E2" w:rsidRDefault="00000000">
    <w:pPr>
      <w:pStyle w:val="Header"/>
      <w:ind w:right="45"/>
      <w:rPr>
        <w:rFonts w:ascii="Palatino Linotype" w:hAnsi="Palatino Linotype" w:hint="eastAsia"/>
        <w:b/>
        <w:sz w:val="20"/>
      </w:rPr>
    </w:pPr>
    <w:r>
      <w:rPr>
        <w:rFonts w:ascii="Palatino Linotype" w:eastAsia="Palatino Linotype" w:hAnsi="Palatino Linotype"/>
        <w:b/>
      </w:rPr>
      <w:t>Al-</w:t>
    </w:r>
    <w:proofErr w:type="spellStart"/>
    <w:r>
      <w:rPr>
        <w:rFonts w:ascii="Palatino Linotype" w:eastAsia="Palatino Linotype" w:hAnsi="Palatino Linotype"/>
        <w:b/>
      </w:rPr>
      <w:t>Ishlah</w:t>
    </w:r>
    <w:proofErr w:type="spellEnd"/>
    <w:r>
      <w:rPr>
        <w:rFonts w:ascii="Palatino Linotype" w:eastAsia="Palatino Linotype" w:hAnsi="Palatino Linotype"/>
        <w:b/>
      </w:rPr>
      <w:t xml:space="preserve">: </w:t>
    </w:r>
    <w:proofErr w:type="spellStart"/>
    <w:r>
      <w:rPr>
        <w:rFonts w:ascii="Palatino Linotype" w:eastAsia="Palatino Linotype" w:hAnsi="Palatino Linotype"/>
        <w:b/>
      </w:rPr>
      <w:t>Jurnal</w:t>
    </w:r>
    <w:proofErr w:type="spellEnd"/>
    <w:r>
      <w:rPr>
        <w:rFonts w:ascii="Palatino Linotype" w:eastAsia="Palatino Linotype" w:hAnsi="Palatino Linotype"/>
        <w:b/>
      </w:rPr>
      <w:t xml:space="preserve"> Pendidikan</w:t>
    </w:r>
  </w:p>
  <w:p w14:paraId="633472E4" w14:textId="77777777" w:rsidR="00AF23E2" w:rsidRDefault="00000000">
    <w:pPr>
      <w:tabs>
        <w:tab w:val="left" w:pos="3675"/>
      </w:tabs>
      <w:spacing w:after="0" w:line="240" w:lineRule="auto"/>
      <w:ind w:right="45"/>
      <w:rPr>
        <w:rFonts w:ascii="Palatino Linotype" w:eastAsia="Times New Roman" w:hAnsi="Palatino Linotype" w:cs="Times New Roman"/>
        <w:sz w:val="18"/>
        <w:szCs w:val="18"/>
        <w:lang w:val="en-US"/>
      </w:rPr>
    </w:pPr>
    <w:r>
      <w:rPr>
        <w:rFonts w:ascii="Palatino Linotype" w:eastAsia="Palatino Linotype" w:hAnsi="Palatino Linotype"/>
      </w:rPr>
      <w:t>Vol. xx, No. xx (2026), pp. xx-xx</w:t>
    </w:r>
  </w:p>
  <w:p w14:paraId="6E2890D5" w14:textId="77777777" w:rsidR="00AF23E2" w:rsidRDefault="00000000">
    <w:pPr>
      <w:tabs>
        <w:tab w:val="left" w:pos="7938"/>
        <w:tab w:val="right" w:pos="8789"/>
      </w:tabs>
      <w:spacing w:after="0" w:line="240" w:lineRule="auto"/>
      <w:rPr>
        <w:rFonts w:ascii="Times New Roman" w:eastAsia="Times New Roman" w:hAnsi="Times New Roman" w:cs="Times New Roman"/>
        <w:sz w:val="20"/>
        <w:szCs w:val="20"/>
        <w:lang w:val="en-US"/>
      </w:rPr>
    </w:pPr>
    <w:r>
      <w:rPr>
        <w:rFonts w:ascii="Palatino Linotype" w:eastAsia="Palatino Linotype" w:hAnsi="Palatino Linotype"/>
      </w:rPr>
      <w:t>ISSN: 2087-9490 EISSN: 2597-940X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12F65"/>
    <w:multiLevelType w:val="multilevel"/>
    <w:tmpl w:val="D5F6D4A0"/>
    <w:lvl w:ilvl="0">
      <w:start w:val="1"/>
      <w:numFmt w:val="decimal"/>
      <w:pStyle w:val="Alishlah21heading1"/>
      <w:lvlText w:val="%1."/>
      <w:lvlJc w:val="left"/>
      <w:pPr>
        <w:tabs>
          <w:tab w:val="num" w:pos="0"/>
        </w:tabs>
        <w:ind w:left="720" w:hanging="360"/>
      </w:pPr>
    </w:lvl>
    <w:lvl w:ilvl="1">
      <w:start w:val="1"/>
      <w:numFmt w:val="decimal"/>
      <w:isLgl/>
      <w:lvlText w:val="%1.%2."/>
      <w:lvlJc w:val="left"/>
      <w:pPr>
        <w:tabs>
          <w:tab w:val="num" w:pos="0"/>
        </w:tabs>
        <w:ind w:left="720" w:hanging="360"/>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440" w:hanging="108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1800" w:hanging="1440"/>
      </w:pPr>
    </w:lvl>
  </w:abstractNum>
  <w:abstractNum w:abstractNumId="1" w15:restartNumberingAfterBreak="0">
    <w:nsid w:val="28416D8A"/>
    <w:multiLevelType w:val="multilevel"/>
    <w:tmpl w:val="38FA50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F9453B3"/>
    <w:multiLevelType w:val="multilevel"/>
    <w:tmpl w:val="0206F45A"/>
    <w:lvl w:ilvl="0">
      <w:start w:val="1"/>
      <w:numFmt w:val="decimal"/>
      <w:pStyle w:val="Alishlah37itemize"/>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 w15:restartNumberingAfterBreak="0">
    <w:nsid w:val="4DAA46FB"/>
    <w:multiLevelType w:val="multilevel"/>
    <w:tmpl w:val="A968A264"/>
    <w:lvl w:ilvl="0">
      <w:start w:val="1"/>
      <w:numFmt w:val="bullet"/>
      <w:pStyle w:val="Alishlah38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16cid:durableId="433325726">
    <w:abstractNumId w:val="2"/>
  </w:num>
  <w:num w:numId="2" w16cid:durableId="533469966">
    <w:abstractNumId w:val="3"/>
  </w:num>
  <w:num w:numId="3" w16cid:durableId="1219903781">
    <w:abstractNumId w:val="0"/>
  </w:num>
  <w:num w:numId="4" w16cid:durableId="780952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AF23E2"/>
    <w:rsid w:val="00023688"/>
    <w:rsid w:val="006F062E"/>
    <w:rsid w:val="00987677"/>
    <w:rsid w:val="00AF23E2"/>
    <w:rsid w:val="00EC43C3"/>
  </w:rsids>
  <m:mathPr>
    <m:mathFont m:val="Cambria Math"/>
    <m:brkBin m:val="before"/>
    <m:brkBinSub m:val="--"/>
    <m:smallFrac m:val="0"/>
    <m:dispDef/>
    <m:lMargin m:val="0"/>
    <m:rMargin m:val="0"/>
    <m:defJc m:val="centerGroup"/>
    <m:wrapIndent m:val="1440"/>
    <m:intLim m:val="subSup"/>
    <m:naryLim m:val="undOvr"/>
  </m:mathPr>
  <w:themeFontLang w:val="en-ID"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23469"/>
  <w15:docId w15:val="{0112C1E4-36AD-4F85-8180-E87D76C35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ID"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qFormat/>
    <w:rsid w:val="008E64A2"/>
    <w:rPr>
      <w:color w:val="0563C1"/>
      <w:u w:val="single"/>
    </w:rPr>
  </w:style>
  <w:style w:type="character" w:customStyle="1" w:styleId="HeaderChar">
    <w:name w:val="Header Char"/>
    <w:basedOn w:val="DefaultParagraphFont"/>
    <w:link w:val="Header"/>
    <w:uiPriority w:val="99"/>
    <w:qFormat/>
    <w:rsid w:val="008E64A2"/>
  </w:style>
  <w:style w:type="character" w:customStyle="1" w:styleId="FooterChar">
    <w:name w:val="Footer Char"/>
    <w:basedOn w:val="DefaultParagraphFont"/>
    <w:link w:val="Footer"/>
    <w:uiPriority w:val="99"/>
    <w:qFormat/>
    <w:rsid w:val="008E64A2"/>
  </w:style>
  <w:style w:type="character" w:customStyle="1" w:styleId="FootnoteTextChar">
    <w:name w:val="Footnote Text Char"/>
    <w:basedOn w:val="DefaultParagraphFont"/>
    <w:link w:val="FootnoteText"/>
    <w:uiPriority w:val="99"/>
    <w:qFormat/>
    <w:rsid w:val="00056E9C"/>
    <w:rPr>
      <w:sz w:val="20"/>
      <w:szCs w:val="20"/>
    </w:rPr>
  </w:style>
  <w:style w:type="character" w:customStyle="1" w:styleId="FootnoteCharacters">
    <w:name w:val="Footnote Characters"/>
    <w:basedOn w:val="DefaultParagraphFont"/>
    <w:uiPriority w:val="99"/>
    <w:unhideWhenUsed/>
    <w:qFormat/>
    <w:rsid w:val="00056E9C"/>
    <w:rPr>
      <w:vertAlign w:val="superscript"/>
    </w:rPr>
  </w:style>
  <w:style w:type="character" w:styleId="FootnoteReference">
    <w:name w:val="footnote reference"/>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character" w:styleId="CommentReference">
    <w:name w:val="annotation reference"/>
    <w:basedOn w:val="DefaultParagraphFont"/>
    <w:uiPriority w:val="99"/>
    <w:semiHidden/>
    <w:unhideWhenUsed/>
    <w:qFormat/>
    <w:rsid w:val="00366DA9"/>
    <w:rPr>
      <w:sz w:val="16"/>
      <w:szCs w:val="16"/>
    </w:rPr>
  </w:style>
  <w:style w:type="character" w:customStyle="1" w:styleId="CommentTextChar">
    <w:name w:val="Comment Text Char"/>
    <w:basedOn w:val="DefaultParagraphFont"/>
    <w:link w:val="CommentText"/>
    <w:uiPriority w:val="99"/>
    <w:semiHidden/>
    <w:qFormat/>
    <w:rsid w:val="00366DA9"/>
    <w:rPr>
      <w:sz w:val="20"/>
      <w:szCs w:val="20"/>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qFormat/>
    <w:rsid w:val="007E0F04"/>
  </w:style>
  <w:style w:type="character" w:customStyle="1" w:styleId="UnresolvedMention2">
    <w:name w:val="Unresolved Mention2"/>
    <w:basedOn w:val="DefaultParagraphFont"/>
    <w:uiPriority w:val="99"/>
    <w:semiHidden/>
    <w:unhideWhenUsed/>
    <w:qFormat/>
    <w:rsid w:val="005C4902"/>
    <w:rPr>
      <w:color w:val="605E5C"/>
      <w:shd w:val="clear" w:color="auto" w:fill="E1DFDD"/>
    </w:rPr>
  </w:style>
  <w:style w:type="character" w:customStyle="1" w:styleId="UnresolvedMention3">
    <w:name w:val="Unresolved Mention3"/>
    <w:basedOn w:val="DefaultParagraphFont"/>
    <w:uiPriority w:val="99"/>
    <w:semiHidden/>
    <w:unhideWhenUsed/>
    <w:qFormat/>
    <w:rsid w:val="00784B9B"/>
    <w:rPr>
      <w:color w:val="605E5C"/>
      <w:shd w:val="clear" w:color="auto" w:fill="E1DFDD"/>
    </w:rPr>
  </w:style>
  <w:style w:type="character" w:customStyle="1" w:styleId="BodyTextChar">
    <w:name w:val="Body Text Char"/>
    <w:basedOn w:val="DefaultParagraphFont"/>
    <w:link w:val="BodyText"/>
    <w:uiPriority w:val="1"/>
    <w:qFormat/>
    <w:rsid w:val="0061136D"/>
    <w:rPr>
      <w:rFonts w:ascii="Times New Roman" w:eastAsia="Times New Roman" w:hAnsi="Times New Roman" w:cs="Times New Roman"/>
      <w:sz w:val="24"/>
      <w:szCs w:val="24"/>
      <w:lang w:val="en-US" w:bidi="en-US"/>
    </w:rPr>
  </w:style>
  <w:style w:type="character" w:customStyle="1" w:styleId="lc">
    <w:name w:val="lc"/>
    <w:basedOn w:val="DefaultParagraphFont"/>
    <w:qFormat/>
    <w:rsid w:val="0061136D"/>
  </w:style>
  <w:style w:type="character" w:customStyle="1" w:styleId="kw">
    <w:name w:val="kw"/>
    <w:basedOn w:val="DefaultParagraphFont"/>
    <w:qFormat/>
    <w:rsid w:val="0061136D"/>
  </w:style>
  <w:style w:type="character" w:customStyle="1" w:styleId="rc">
    <w:name w:val="rc"/>
    <w:basedOn w:val="DefaultParagraphFont"/>
    <w:qFormat/>
    <w:rsid w:val="0061136D"/>
  </w:style>
  <w:style w:type="character" w:customStyle="1" w:styleId="st">
    <w:name w:val="st"/>
    <w:basedOn w:val="DefaultParagraphFont"/>
    <w:qFormat/>
    <w:rsid w:val="0061136D"/>
  </w:style>
  <w:style w:type="character" w:styleId="UnresolvedMention">
    <w:name w:val="Unresolved Mention"/>
    <w:basedOn w:val="DefaultParagraphFont"/>
    <w:uiPriority w:val="99"/>
    <w:semiHidden/>
    <w:unhideWhenUsed/>
    <w:qFormat/>
    <w:rsid w:val="00887B61"/>
    <w:rPr>
      <w:color w:val="605E5C"/>
      <w:shd w:val="clear" w:color="auto" w:fill="E1DFDD"/>
    </w:rPr>
  </w:style>
  <w:style w:type="character" w:customStyle="1" w:styleId="BodyTextIndent3Char">
    <w:name w:val="Body Text Indent 3 Char"/>
    <w:basedOn w:val="DefaultParagraphFont"/>
    <w:link w:val="BodyTextIndent3"/>
    <w:uiPriority w:val="99"/>
    <w:semiHidden/>
    <w:qFormat/>
    <w:rsid w:val="0048254D"/>
    <w:rPr>
      <w:sz w:val="16"/>
      <w:szCs w:val="16"/>
    </w:rPr>
  </w:style>
  <w:style w:type="character" w:customStyle="1" w:styleId="ListParagraphChar">
    <w:name w:val="List Paragraph Char"/>
    <w:basedOn w:val="DefaultParagraphFont"/>
    <w:link w:val="ListParagraph"/>
    <w:uiPriority w:val="34"/>
    <w:qFormat/>
    <w:locked/>
    <w:rsid w:val="00C37B1B"/>
    <w:rPr>
      <w:rFonts w:eastAsiaTheme="minorEastAsia" w:cs="Arial"/>
      <w:lang w:val="id-ID"/>
    </w:rPr>
  </w:style>
  <w:style w:type="character" w:customStyle="1" w:styleId="HTMLPreformattedChar">
    <w:name w:val="HTML Preformatted Char"/>
    <w:basedOn w:val="DefaultParagraphFont"/>
    <w:link w:val="HTMLPreformatted"/>
    <w:uiPriority w:val="99"/>
    <w:qFormat/>
    <w:rsid w:val="00C37B1B"/>
    <w:rPr>
      <w:rFonts w:ascii="Courier New" w:eastAsia="Times New Roman" w:hAnsi="Courier New" w:cs="Courier New"/>
      <w:sz w:val="20"/>
      <w:szCs w:val="20"/>
      <w:lang w:val="en-US"/>
    </w:rPr>
  </w:style>
  <w:style w:type="character" w:customStyle="1" w:styleId="NoSpacingChar">
    <w:name w:val="No Spacing Char"/>
    <w:link w:val="NoSpacing"/>
    <w:uiPriority w:val="1"/>
    <w:qFormat/>
    <w:locked/>
    <w:rsid w:val="00B7027E"/>
    <w:rPr>
      <w:rFonts w:eastAsiaTheme="minorEastAsia"/>
      <w:lang w:val="id-ID" w:eastAsia="id-ID"/>
    </w:rPr>
  </w:style>
  <w:style w:type="character" w:customStyle="1" w:styleId="Alishlah24HEading4Char">
    <w:name w:val="Alishlah_2.4 HEading4 Char"/>
    <w:basedOn w:val="Heading3Char"/>
    <w:link w:val="Alishlah24HEading4"/>
    <w:qFormat/>
    <w:rsid w:val="002B31FD"/>
    <w:rPr>
      <w:rFonts w:ascii="Palatino Linotype" w:eastAsiaTheme="majorEastAsia" w:hAnsi="Palatino Linotype" w:cs="Times New Roman"/>
      <w:i/>
      <w:color w:val="1F3763" w:themeColor="accent1" w:themeShade="7F"/>
      <w:sz w:val="20"/>
      <w:szCs w:val="20"/>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uiPriority w:val="1"/>
    <w:qFormat/>
    <w:rsid w:val="0061136D"/>
    <w:pPr>
      <w:widowControl w:val="0"/>
      <w:spacing w:after="0" w:line="240" w:lineRule="auto"/>
    </w:pPr>
    <w:rPr>
      <w:rFonts w:ascii="Times New Roman" w:eastAsia="Times New Roman" w:hAnsi="Times New Roman" w:cs="Times New Roman"/>
      <w:sz w:val="24"/>
      <w:szCs w:val="24"/>
      <w:lang w:val="en-US" w:bidi="en-US"/>
    </w:rPr>
  </w:style>
  <w:style w:type="paragraph" w:styleId="List">
    <w:name w:val="List"/>
    <w:basedOn w:val="BodyText"/>
    <w:rPr>
      <w:rFonts w:cs="Lohit Devanagari"/>
    </w:r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paragraph" w:customStyle="1" w:styleId="Index">
    <w:name w:val="Index"/>
    <w:basedOn w:val="Normal"/>
    <w:qFormat/>
    <w:pPr>
      <w:suppressLineNumbers/>
    </w:pPr>
    <w:rPr>
      <w:rFonts w:cs="Lohit Devanagari"/>
    </w:rPr>
  </w:style>
  <w:style w:type="paragraph" w:customStyle="1" w:styleId="Alishlah12title">
    <w:name w:val="Alishlah_1.2_title"/>
    <w:next w:val="Alishlah13authornames"/>
    <w:qFormat/>
    <w:rsid w:val="00727D5A"/>
    <w:pPr>
      <w:snapToGrid w:val="0"/>
      <w:spacing w:before="600" w:after="240" w:line="400" w:lineRule="exact"/>
      <w:jc w:val="both"/>
    </w:pPr>
    <w:rPr>
      <w:rFonts w:ascii="Palatino Linotype" w:eastAsia="Times New Roman" w:hAnsi="Palatino Linotype" w:cs="Times New Roman"/>
      <w:b/>
      <w:color w:val="000000"/>
      <w:sz w:val="28"/>
      <w:szCs w:val="28"/>
      <w:lang w:val="en-GB" w:eastAsia="de-DE" w:bidi="en-US"/>
    </w:rPr>
  </w:style>
  <w:style w:type="paragraph" w:customStyle="1" w:styleId="Alishlah13authornames">
    <w:name w:val="Alishlah_1.3_authornames"/>
    <w:basedOn w:val="Normal"/>
    <w:next w:val="Alishlah14history"/>
    <w:qFormat/>
    <w:rsid w:val="008E64A2"/>
    <w:pPr>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snapToGrid w:val="0"/>
      <w:spacing w:line="200" w:lineRule="atLeast"/>
      <w:ind w:left="311" w:hanging="198"/>
    </w:pPr>
    <w:rPr>
      <w:rFonts w:ascii="Palatino Linotype" w:eastAsia="Times New Roman" w:hAnsi="Palatino Linotype" w:cs="Times New Roman"/>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snapToGrid w:val="0"/>
      <w:spacing w:line="260" w:lineRule="atLeast"/>
      <w:ind w:firstLine="425"/>
      <w:jc w:val="both"/>
    </w:pPr>
    <w:rPr>
      <w:rFonts w:ascii="Palatino Linotype" w:eastAsia="Times New Roman" w:hAnsi="Palatino Linotype" w:cs="Times New Roman"/>
      <w:color w:val="000000"/>
      <w:sz w:val="20"/>
      <w:lang w:val="en-US" w:eastAsia="de-DE" w:bidi="en-US"/>
    </w:rPr>
  </w:style>
  <w:style w:type="paragraph" w:customStyle="1" w:styleId="Alishlah21heading1">
    <w:name w:val="Alishlah_2.1_heading1"/>
    <w:basedOn w:val="Normal"/>
    <w:qFormat/>
    <w:rsid w:val="008E64A2"/>
    <w:pPr>
      <w:numPr>
        <w:numId w:val="3"/>
      </w:numPr>
      <w:snapToGrid w:val="0"/>
      <w:spacing w:before="240" w:after="120" w:line="260" w:lineRule="atLeast"/>
      <w:ind w:left="426" w:hanging="426"/>
      <w:outlineLvl w:val="0"/>
    </w:pPr>
    <w:rPr>
      <w:rFonts w:ascii="Palatino Linotype" w:eastAsia="Times New Roman" w:hAnsi="Palatino Linotype" w:cs="Times New Roman"/>
      <w:b/>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snapToGrid w:val="0"/>
      <w:spacing w:before="120" w:line="200" w:lineRule="atLeast"/>
      <w:jc w:val="both"/>
    </w:pPr>
    <w:rPr>
      <w:rFonts w:ascii="Palatino Linotype" w:eastAsia="Times New Roman" w:hAnsi="Palatino Linotype" w:cs="Times New Roman"/>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zCs w:val="22"/>
    </w:rPr>
  </w:style>
  <w:style w:type="paragraph" w:customStyle="1" w:styleId="Alishlah42tablebody">
    <w:name w:val="Alishlah_4.2_table_body"/>
    <w:qFormat/>
    <w:rsid w:val="008E64A2"/>
    <w:pPr>
      <w:snapToGrid w:val="0"/>
      <w:spacing w:line="260" w:lineRule="atLeast"/>
      <w:jc w:val="center"/>
    </w:pPr>
    <w:rPr>
      <w:rFonts w:ascii="Palatino Linotype" w:eastAsia="Times New Roman" w:hAnsi="Palatino Linotype" w:cs="Times New Roman"/>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style>
  <w:style w:type="paragraph" w:customStyle="1" w:styleId="Alishlah52figure">
    <w:name w:val="Alishlah_5.2_figure"/>
    <w:qFormat/>
    <w:rsid w:val="008E64A2"/>
    <w:pPr>
      <w:jc w:val="center"/>
    </w:pPr>
    <w:rPr>
      <w:rFonts w:ascii="Palatino Linotype" w:eastAsia="Times New Roman" w:hAnsi="Palatino Linotype" w:cs="Times New Roman"/>
      <w:color w:val="000000"/>
      <w:sz w:val="24"/>
      <w:szCs w:val="20"/>
      <w:lang w:val="en-US" w:eastAsia="de-DE" w:bidi="en-US"/>
    </w:rPr>
  </w:style>
  <w:style w:type="paragraph" w:customStyle="1" w:styleId="MDPIheaderjournallogo">
    <w:name w:val="MDPI_header_journal_logo"/>
    <w:qFormat/>
    <w:rsid w:val="00EE35A7"/>
    <w:pPr>
      <w:snapToGrid w:val="0"/>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snapToGrid w:val="0"/>
      <w:spacing w:before="240" w:after="120" w:line="260" w:lineRule="atLeast"/>
      <w:outlineLvl w:val="1"/>
    </w:pPr>
    <w:rPr>
      <w:rFonts w:ascii="Palatino Linotype" w:eastAsia="Georgia" w:hAnsi="Palatino Linotype" w:cs="Times New Roman"/>
      <w:b/>
      <w:bCs/>
      <w:i/>
      <w:color w:val="000000"/>
      <w:sz w:val="20"/>
      <w:lang w:val="en-US" w:eastAsia="de-DE" w:bidi="en-US"/>
    </w:rPr>
  </w:style>
  <w:style w:type="paragraph" w:customStyle="1" w:styleId="Alishlah71References">
    <w:name w:val="Alishlah_7.1_References"/>
    <w:basedOn w:val="Normal"/>
    <w:qFormat/>
    <w:rsid w:val="0048254D"/>
    <w:pPr>
      <w:widowControl w:val="0"/>
      <w:spacing w:after="0" w:line="240" w:lineRule="atLeast"/>
      <w:ind w:left="480" w:hanging="480"/>
      <w:jc w:val="both"/>
    </w:pPr>
    <w:rPr>
      <w:rFonts w:ascii="Palatino Linotype" w:hAnsi="Palatino Linotype" w:cs="Times New Roman"/>
      <w:sz w:val="20"/>
      <w:szCs w:val="20"/>
    </w:rPr>
  </w:style>
  <w:style w:type="paragraph" w:customStyle="1" w:styleId="HeaderandFooter">
    <w:name w:val="Header and Footer"/>
    <w:basedOn w:val="Normal"/>
    <w:qFormat/>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paragraph" w:styleId="FootnoteText">
    <w:name w:val="footnote text"/>
    <w:basedOn w:val="Normal"/>
    <w:link w:val="FootnoteTextChar"/>
    <w:uiPriority w:val="99"/>
    <w:unhideWhenUsed/>
    <w:qFormat/>
    <w:rsid w:val="00056E9C"/>
    <w:pPr>
      <w:spacing w:after="0" w:line="240" w:lineRule="auto"/>
    </w:pPr>
    <w:rPr>
      <w:sz w:val="20"/>
      <w:szCs w:val="20"/>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basedOn w:val="Normal"/>
    <w:link w:val="ListParagraphChar"/>
    <w:uiPriority w:val="34"/>
    <w:qFormat/>
    <w:rsid w:val="00966B3D"/>
    <w:pPr>
      <w:spacing w:after="200" w:line="276" w:lineRule="auto"/>
      <w:ind w:left="720"/>
      <w:contextualSpacing/>
    </w:pPr>
    <w:rPr>
      <w:rFonts w:eastAsiaTheme="minorEastAsia" w:cs="Arial"/>
      <w:lang w:val="id-ID"/>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paragraph" w:styleId="TOC1">
    <w:name w:val="toc 1"/>
    <w:basedOn w:val="Normal"/>
    <w:uiPriority w:val="1"/>
    <w:qFormat/>
    <w:rsid w:val="0061136D"/>
    <w:pPr>
      <w:widowControl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customStyle="1" w:styleId="TableParagraph">
    <w:name w:val="Table Paragraph"/>
    <w:basedOn w:val="Normal"/>
    <w:uiPriority w:val="1"/>
    <w:qFormat/>
    <w:rsid w:val="0061136D"/>
    <w:pPr>
      <w:widowControl w:val="0"/>
      <w:spacing w:after="0" w:line="240" w:lineRule="auto"/>
    </w:pPr>
    <w:rPr>
      <w:rFonts w:ascii="Times New Roman" w:eastAsia="Times New Roman" w:hAnsi="Times New Roman" w:cs="Times New Roman"/>
      <w:lang w:val="en-US" w:bidi="en-US"/>
    </w:rPr>
  </w:style>
  <w:style w:type="paragraph" w:styleId="BodyTextIndent3">
    <w:name w:val="Body Text Indent 3"/>
    <w:basedOn w:val="Normal"/>
    <w:link w:val="BodyTextIndent3Char"/>
    <w:uiPriority w:val="99"/>
    <w:semiHidden/>
    <w:unhideWhenUsed/>
    <w:qFormat/>
    <w:rsid w:val="0048254D"/>
    <w:pPr>
      <w:spacing w:after="120"/>
      <w:ind w:left="283"/>
    </w:pPr>
    <w:rPr>
      <w:sz w:val="16"/>
      <w:szCs w:val="16"/>
    </w:rPr>
  </w:style>
  <w:style w:type="paragraph" w:styleId="NoSpacing">
    <w:name w:val="No Spacing"/>
    <w:link w:val="NoSpacingChar"/>
    <w:uiPriority w:val="1"/>
    <w:qFormat/>
    <w:rsid w:val="00C37B1B"/>
    <w:rPr>
      <w:rFonts w:ascii="Calibri" w:eastAsiaTheme="minorEastAsia" w:hAnsi="Calibri" w:cs="Arial"/>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sz w:val="20"/>
      <w:szCs w:val="20"/>
    </w:rPr>
  </w:style>
  <w:style w:type="table" w:styleId="PlainTable2">
    <w:name w:val="Plain Table 2"/>
    <w:basedOn w:val="TableNormal"/>
    <w:uiPriority w:val="42"/>
    <w:rsid w:val="007E0F0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Grid">
    <w:name w:val="Table Grid"/>
    <w:basedOn w:val="TableNormal"/>
    <w:uiPriority w:val="59"/>
    <w:qFormat/>
    <w:rsid w:val="00FF5CD8"/>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C37B1B"/>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uiPriority w:val="59"/>
    <w:rsid w:val="00921BF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4753</Words>
  <Characters>27094</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dc:description/>
  <cp:lastModifiedBy>lenovo</cp:lastModifiedBy>
  <cp:revision>4</cp:revision>
  <cp:lastPrinted>2022-03-12T14:54:00Z</cp:lastPrinted>
  <dcterms:created xsi:type="dcterms:W3CDTF">2022-04-04T23:06:00Z</dcterms:created>
  <dcterms:modified xsi:type="dcterms:W3CDTF">2026-05-25T09:00:00Z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http://www.zotero.org/styles/apa-6th-edition</vt:lpwstr>
  </property>
  <property fmtid="{D5CDD505-2E9C-101B-9397-08002B2CF9AE}" pid="3" name="Mendeley Document_1">
    <vt:lpwstr>True</vt:lpwstr>
  </property>
  <property fmtid="{D5CDD505-2E9C-101B-9397-08002B2CF9AE}" pid="4" name="Mendeley Recent Style Id 0_1">
    <vt:lpwstr>http://www.zotero.org/styles/african-online-scientific-information-systems-harvard</vt:lpwstr>
  </property>
  <property fmtid="{D5CDD505-2E9C-101B-9397-08002B2CF9AE}" pid="5" name="Mendeley Recent Style Id 1_1">
    <vt:lpwstr>http://www.zotero.org/styles/apa-6th-edition</vt:lpwstr>
  </property>
  <property fmtid="{D5CDD505-2E9C-101B-9397-08002B2CF9AE}" pid="6" name="Mendeley Recent Style Id 2_1">
    <vt:lpwstr>http://www.zotero.org/styles/apa</vt:lpwstr>
  </property>
  <property fmtid="{D5CDD505-2E9C-101B-9397-08002B2CF9AE}" pid="7" name="Mendeley Recent Style Id 3_1">
    <vt:lpwstr>https://csl.mendeley.com/styles/454157031/apa-2-tes</vt:lpwstr>
  </property>
  <property fmtid="{D5CDD505-2E9C-101B-9397-08002B2CF9AE}" pid="8" name="Mendeley Recent Style Id 4_1">
    <vt:lpwstr>http://csl.mendeley.com/styles/454157031/apa-2-tes</vt:lpwstr>
  </property>
  <property fmtid="{D5CDD505-2E9C-101B-9397-08002B2CF9AE}" pid="9" name="Mendeley Recent Style Id 5_1">
    <vt:lpwstr>http://csl.mendeley.com/styles/454157031/american-sociological-association-edit</vt:lpwstr>
  </property>
  <property fmtid="{D5CDD505-2E9C-101B-9397-08002B2CF9AE}" pid="10" name="Mendeley Recent Style Id 6_1">
    <vt:lpwstr>http://www.zotero.org/styles/chicago-fullnote-bibliography</vt:lpwstr>
  </property>
  <property fmtid="{D5CDD505-2E9C-101B-9397-08002B2CF9AE}" pid="11" name="Mendeley Recent Style Id 7_1">
    <vt:lpwstr>http://www.zotero.org/styles/council-of-science-editors-author-date</vt:lpwstr>
  </property>
  <property fmtid="{D5CDD505-2E9C-101B-9397-08002B2CF9AE}" pid="12" name="Mendeley Recent Style Id 8_1">
    <vt:lpwstr>http://www.zotero.org/styles/ieee</vt:lpwstr>
  </property>
  <property fmtid="{D5CDD505-2E9C-101B-9397-08002B2CF9AE}" pid="13" name="Mendeley Recent Style Id 9_1">
    <vt:lpwstr>http://www.zotero.org/styles/university-of-south-africa-harvard</vt:lpwstr>
  </property>
  <property fmtid="{D5CDD505-2E9C-101B-9397-08002B2CF9AE}" pid="14" name="Mendeley Recent Style Name 0_1">
    <vt:lpwstr>African Online Scientific Information Systems - Harvard</vt:lpwstr>
  </property>
  <property fmtid="{D5CDD505-2E9C-101B-9397-08002B2CF9AE}" pid="15" name="Mendeley Recent Style Name 1_1">
    <vt:lpwstr>American Psychological Association 6th edition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Psychological Association 7th edition - B. busro, M.Ag</vt:lpwstr>
  </property>
  <property fmtid="{D5CDD505-2E9C-101B-9397-08002B2CF9AE}" pid="18" name="Mendeley Recent Style Name 4_1">
    <vt:lpwstr>American Psychological Association 7th edition - B. busro, M.Ag</vt:lpwstr>
  </property>
  <property fmtid="{D5CDD505-2E9C-101B-9397-08002B2CF9AE}" pid="19" name="Mendeley Recent Style Name 5_1">
    <vt:lpwstr>American Sociological Association 6th edition - B. busro</vt:lpwstr>
  </property>
  <property fmtid="{D5CDD505-2E9C-101B-9397-08002B2CF9AE}" pid="20" name="Mendeley Recent Style Name 6_1">
    <vt:lpwstr>Chicago Manual of Style 17th edition (full note)</vt:lpwstr>
  </property>
  <property fmtid="{D5CDD505-2E9C-101B-9397-08002B2CF9AE}" pid="21" name="Mendeley Recent Style Name 7_1">
    <vt:lpwstr>Council of Science Editors, Name-Year (author-date)</vt:lpwstr>
  </property>
  <property fmtid="{D5CDD505-2E9C-101B-9397-08002B2CF9AE}" pid="22" name="Mendeley Recent Style Name 8_1">
    <vt:lpwstr>IEEE</vt:lpwstr>
  </property>
  <property fmtid="{D5CDD505-2E9C-101B-9397-08002B2CF9AE}" pid="23" name="Mendeley Recent Style Name 9_1">
    <vt:lpwstr>University of South Africa - Harvard</vt:lpwstr>
  </property>
  <property fmtid="{D5CDD505-2E9C-101B-9397-08002B2CF9AE}" pid="24" name="Mendeley Unique User Id_1">
    <vt:lpwstr>5b27c16e-2bc6-39f0-b10d-71fd29ed368b</vt:lpwstr>
  </property>
</Properties>
</file>